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8077"/>
      </w:tblGrid>
      <w:tr w:rsidR="002914D6">
        <w:trPr>
          <w:jc w:val="center"/>
        </w:trPr>
        <w:tc>
          <w:tcPr>
            <w:tcW w:w="743" w:type="dxa"/>
          </w:tcPr>
          <w:p w:rsidR="002914D6" w:rsidRDefault="00011212">
            <w:pPr>
              <w:jc w:val="both"/>
              <w:rPr>
                <w:rFonts w:ascii="Arial" w:hAnsi="Arial"/>
                <w:b/>
                <w:bCs/>
              </w:rPr>
            </w:pPr>
            <w:bookmarkStart w:id="0" w:name="_GoBack"/>
            <w:bookmarkEnd w:id="0"/>
            <w:r>
              <w:rPr>
                <w:rFonts w:ascii="Arial" w:hAnsi="Arial" w:hint="cs"/>
                <w:b/>
                <w:bCs/>
                <w:rtl/>
              </w:rPr>
              <w:t>ב</w:t>
            </w:r>
            <w:r>
              <w:rPr>
                <w:rFonts w:ascii="Arial" w:hAnsi="Arial"/>
                <w:b/>
                <w:bCs/>
                <w:rtl/>
              </w:rPr>
              <w:t xml:space="preserve">פני </w:t>
            </w:r>
          </w:p>
        </w:tc>
        <w:tc>
          <w:tcPr>
            <w:tcW w:w="8077" w:type="dxa"/>
          </w:tcPr>
          <w:p w:rsidR="002914D6" w:rsidRDefault="00011212">
            <w:pPr>
              <w:rPr>
                <w:rFonts w:ascii="Arial" w:hAnsi="Arial"/>
                <w:b/>
                <w:bCs/>
                <w:rtl/>
              </w:rPr>
            </w:pPr>
            <w:r>
              <w:rPr>
                <w:rFonts w:ascii="Arial" w:hAnsi="Arial" w:hint="cs"/>
                <w:b/>
                <w:bCs/>
                <w:rtl/>
              </w:rPr>
              <w:t>כב' ה</w:t>
            </w:r>
            <w:r>
              <w:rPr>
                <w:rFonts w:ascii="Arial" w:hAnsi="Arial"/>
                <w:b/>
                <w:bCs/>
                <w:rtl/>
              </w:rPr>
              <w:t>שופטת</w:t>
            </w:r>
            <w:r>
              <w:rPr>
                <w:rFonts w:ascii="Arial" w:hAnsi="Arial" w:hint="cs"/>
                <w:b/>
                <w:bCs/>
                <w:rtl/>
              </w:rPr>
              <w:t xml:space="preserve">  </w:t>
            </w:r>
            <w:r>
              <w:rPr>
                <w:rFonts w:ascii="Arial" w:hAnsi="Arial"/>
                <w:b/>
                <w:bCs/>
                <w:rtl/>
              </w:rPr>
              <w:t>ורד שביט פינקלשטיין</w:t>
            </w:r>
          </w:p>
          <w:p w:rsidR="0071081D" w:rsidRDefault="0071081D">
            <w:pPr>
              <w:rPr>
                <w:rFonts w:ascii="Arial" w:hAnsi="Arial"/>
                <w:b/>
                <w:bCs/>
                <w:rtl/>
              </w:rPr>
            </w:pPr>
          </w:p>
          <w:p w:rsidR="002914D6" w:rsidRDefault="002914D6">
            <w:pPr>
              <w:rPr>
                <w:rFonts w:ascii="Arial" w:hAnsi="Arial" w:cs="FrankRuehl"/>
                <w:sz w:val="28"/>
                <w:szCs w:val="28"/>
                <w:highlight w:val="yellow"/>
              </w:rPr>
            </w:pPr>
          </w:p>
        </w:tc>
      </w:tr>
    </w:tbl>
    <w:tbl>
      <w:tblPr>
        <w:bidiVisual/>
        <w:tblW w:w="8848" w:type="dxa"/>
        <w:tblInd w:w="-28" w:type="dxa"/>
        <w:tblLook w:val="01E0" w:firstRow="1" w:lastRow="1" w:firstColumn="1" w:lastColumn="1" w:noHBand="0" w:noVBand="0"/>
      </w:tblPr>
      <w:tblGrid>
        <w:gridCol w:w="2880"/>
        <w:gridCol w:w="5922"/>
        <w:gridCol w:w="46"/>
      </w:tblGrid>
      <w:tr w:rsidR="0071081D" w:rsidTr="0071081D">
        <w:trPr>
          <w:gridAfter w:val="1"/>
          <w:wAfter w:w="46" w:type="dxa"/>
        </w:trPr>
        <w:tc>
          <w:tcPr>
            <w:tcW w:w="2880" w:type="dxa"/>
            <w:hideMark/>
          </w:tcPr>
          <w:p w:rsidR="0071081D" w:rsidRDefault="0071081D">
            <w:pPr>
              <w:ind w:left="26"/>
              <w:rPr>
                <w:b/>
                <w:bCs/>
                <w:noProof w:val="0"/>
              </w:rPr>
            </w:pPr>
            <w:r>
              <w:rPr>
                <w:b/>
                <w:bCs/>
                <w:noProof w:val="0"/>
                <w:u w:val="single"/>
                <w:rtl/>
              </w:rPr>
              <w:t>תובעים</w:t>
            </w:r>
            <w:r>
              <w:rPr>
                <w:noProof w:val="0"/>
                <w:rtl/>
              </w:rPr>
              <w:t>:</w:t>
            </w:r>
          </w:p>
        </w:tc>
        <w:tc>
          <w:tcPr>
            <w:tcW w:w="5922" w:type="dxa"/>
          </w:tcPr>
          <w:p w:rsidR="0071081D" w:rsidRDefault="0071081D" w:rsidP="006A26C3">
            <w:pPr>
              <w:rPr>
                <w:b/>
                <w:bCs/>
                <w:noProof w:val="0"/>
              </w:rPr>
            </w:pPr>
            <w:r>
              <w:rPr>
                <w:b/>
                <w:bCs/>
                <w:noProof w:val="0"/>
                <w:rtl/>
              </w:rPr>
              <w:t>1. י</w:t>
            </w:r>
            <w:r w:rsidR="006A26C3">
              <w:rPr>
                <w:rFonts w:hint="cs"/>
                <w:b/>
                <w:bCs/>
                <w:noProof w:val="0"/>
                <w:rtl/>
              </w:rPr>
              <w:t>'</w:t>
            </w:r>
            <w:r>
              <w:rPr>
                <w:b/>
                <w:bCs/>
                <w:noProof w:val="0"/>
                <w:rtl/>
              </w:rPr>
              <w:t xml:space="preserve"> ח</w:t>
            </w:r>
            <w:r w:rsidR="006A26C3">
              <w:rPr>
                <w:rFonts w:hint="cs"/>
                <w:b/>
                <w:bCs/>
                <w:noProof w:val="0"/>
                <w:rtl/>
              </w:rPr>
              <w:t>'</w:t>
            </w:r>
          </w:p>
          <w:p w:rsidR="0071081D" w:rsidRDefault="0071081D" w:rsidP="006A26C3">
            <w:pPr>
              <w:rPr>
                <w:b/>
                <w:bCs/>
                <w:noProof w:val="0"/>
                <w:rtl/>
              </w:rPr>
            </w:pPr>
            <w:r>
              <w:rPr>
                <w:b/>
                <w:bCs/>
                <w:noProof w:val="0"/>
                <w:rtl/>
              </w:rPr>
              <w:t>2. א</w:t>
            </w:r>
            <w:r w:rsidR="006A26C3">
              <w:rPr>
                <w:rFonts w:hint="cs"/>
                <w:b/>
                <w:bCs/>
                <w:noProof w:val="0"/>
                <w:rtl/>
              </w:rPr>
              <w:t>'</w:t>
            </w:r>
            <w:r>
              <w:rPr>
                <w:b/>
                <w:bCs/>
                <w:noProof w:val="0"/>
                <w:rtl/>
              </w:rPr>
              <w:t xml:space="preserve"> ח</w:t>
            </w:r>
            <w:r w:rsidR="006A26C3">
              <w:rPr>
                <w:rFonts w:hint="cs"/>
                <w:b/>
                <w:bCs/>
                <w:noProof w:val="0"/>
                <w:rtl/>
              </w:rPr>
              <w:t>'</w:t>
            </w:r>
          </w:p>
          <w:p w:rsidR="0071081D" w:rsidRDefault="0071081D">
            <w:pPr>
              <w:rPr>
                <w:noProof w:val="0"/>
                <w:rtl/>
              </w:rPr>
            </w:pPr>
            <w:r>
              <w:rPr>
                <w:noProof w:val="0"/>
                <w:rtl/>
              </w:rPr>
              <w:t>ע"י ב"כ עו"ד נאדר כבהה</w:t>
            </w:r>
          </w:p>
          <w:p w:rsidR="0071081D" w:rsidRDefault="0071081D">
            <w:pPr>
              <w:rPr>
                <w:b/>
                <w:bCs/>
                <w:noProof w:val="0"/>
                <w:rtl/>
              </w:rPr>
            </w:pPr>
          </w:p>
        </w:tc>
      </w:tr>
      <w:tr w:rsidR="0071081D" w:rsidTr="0071081D">
        <w:trPr>
          <w:gridAfter w:val="1"/>
          <w:wAfter w:w="46" w:type="dxa"/>
        </w:trPr>
        <w:tc>
          <w:tcPr>
            <w:tcW w:w="8802" w:type="dxa"/>
            <w:gridSpan w:val="2"/>
          </w:tcPr>
          <w:p w:rsidR="0071081D" w:rsidRDefault="0071081D">
            <w:pPr>
              <w:jc w:val="center"/>
              <w:rPr>
                <w:rFonts w:ascii="Arial" w:hAnsi="Arial"/>
                <w:b/>
                <w:bCs/>
                <w:noProof w:val="0"/>
                <w:rtl/>
              </w:rPr>
            </w:pPr>
          </w:p>
          <w:p w:rsidR="0071081D" w:rsidRDefault="0071081D">
            <w:pPr>
              <w:jc w:val="center"/>
              <w:rPr>
                <w:rFonts w:ascii="Arial" w:hAnsi="Arial"/>
                <w:b/>
                <w:bCs/>
                <w:noProof w:val="0"/>
                <w:rtl/>
              </w:rPr>
            </w:pPr>
            <w:r>
              <w:rPr>
                <w:rFonts w:ascii="Arial" w:hAnsi="Arial"/>
                <w:b/>
                <w:bCs/>
                <w:noProof w:val="0"/>
                <w:rtl/>
              </w:rPr>
              <w:t>-נ ג ד -</w:t>
            </w:r>
          </w:p>
          <w:p w:rsidR="0071081D" w:rsidRDefault="0071081D">
            <w:pPr>
              <w:jc w:val="center"/>
              <w:rPr>
                <w:rFonts w:ascii="Arial" w:hAnsi="Arial"/>
                <w:b/>
                <w:bCs/>
                <w:noProof w:val="0"/>
                <w:rtl/>
              </w:rPr>
            </w:pPr>
          </w:p>
          <w:p w:rsidR="0071081D" w:rsidRDefault="0071081D">
            <w:pPr>
              <w:jc w:val="center"/>
              <w:rPr>
                <w:rFonts w:ascii="Arial" w:hAnsi="Arial"/>
                <w:b/>
                <w:bCs/>
                <w:noProof w:val="0"/>
                <w:rtl/>
              </w:rPr>
            </w:pPr>
          </w:p>
        </w:tc>
      </w:tr>
      <w:tr w:rsidR="0071081D" w:rsidTr="0071081D">
        <w:trPr>
          <w:gridAfter w:val="1"/>
          <w:wAfter w:w="46" w:type="dxa"/>
        </w:trPr>
        <w:tc>
          <w:tcPr>
            <w:tcW w:w="2880" w:type="dxa"/>
            <w:hideMark/>
          </w:tcPr>
          <w:p w:rsidR="0071081D" w:rsidRDefault="0071081D">
            <w:pPr>
              <w:ind w:left="26"/>
              <w:rPr>
                <w:b/>
                <w:bCs/>
                <w:rtl/>
              </w:rPr>
            </w:pPr>
            <w:r>
              <w:rPr>
                <w:b/>
                <w:bCs/>
                <w:noProof w:val="0"/>
                <w:u w:val="single"/>
                <w:rtl/>
              </w:rPr>
              <w:t>הנתבעים</w:t>
            </w:r>
            <w:r>
              <w:rPr>
                <w:noProof w:val="0"/>
                <w:rtl/>
              </w:rPr>
              <w:t>:</w:t>
            </w:r>
          </w:p>
        </w:tc>
        <w:tc>
          <w:tcPr>
            <w:tcW w:w="5922" w:type="dxa"/>
          </w:tcPr>
          <w:p w:rsidR="0071081D" w:rsidRDefault="0071081D" w:rsidP="006A26C3">
            <w:pPr>
              <w:rPr>
                <w:b/>
                <w:bCs/>
                <w:noProof w:val="0"/>
              </w:rPr>
            </w:pPr>
            <w:r>
              <w:rPr>
                <w:b/>
                <w:bCs/>
                <w:noProof w:val="0"/>
                <w:rtl/>
              </w:rPr>
              <w:t>1. א</w:t>
            </w:r>
            <w:r w:rsidR="006A26C3">
              <w:rPr>
                <w:rFonts w:hint="cs"/>
                <w:b/>
                <w:bCs/>
                <w:noProof w:val="0"/>
                <w:rtl/>
              </w:rPr>
              <w:t>'</w:t>
            </w:r>
            <w:r>
              <w:rPr>
                <w:b/>
                <w:bCs/>
                <w:noProof w:val="0"/>
                <w:rtl/>
              </w:rPr>
              <w:t xml:space="preserve"> ח</w:t>
            </w:r>
            <w:r w:rsidR="006A26C3">
              <w:rPr>
                <w:rFonts w:hint="cs"/>
                <w:b/>
                <w:bCs/>
                <w:noProof w:val="0"/>
                <w:rtl/>
              </w:rPr>
              <w:t>'</w:t>
            </w:r>
          </w:p>
          <w:p w:rsidR="0071081D" w:rsidRDefault="0071081D">
            <w:pPr>
              <w:rPr>
                <w:noProof w:val="0"/>
                <w:rtl/>
              </w:rPr>
            </w:pPr>
            <w:r>
              <w:rPr>
                <w:noProof w:val="0"/>
                <w:rtl/>
              </w:rPr>
              <w:t>ע"י ב"כ עו"ד אביטל רבינוביץ</w:t>
            </w:r>
          </w:p>
          <w:p w:rsidR="0071081D" w:rsidRDefault="0071081D">
            <w:pPr>
              <w:rPr>
                <w:b/>
                <w:bCs/>
                <w:noProof w:val="0"/>
                <w:rtl/>
              </w:rPr>
            </w:pPr>
          </w:p>
          <w:p w:rsidR="0071081D" w:rsidRDefault="0071081D" w:rsidP="006A26C3">
            <w:pPr>
              <w:rPr>
                <w:b/>
                <w:bCs/>
                <w:noProof w:val="0"/>
                <w:rtl/>
              </w:rPr>
            </w:pPr>
            <w:r>
              <w:rPr>
                <w:b/>
                <w:bCs/>
                <w:noProof w:val="0"/>
                <w:rtl/>
              </w:rPr>
              <w:t>2. ש</w:t>
            </w:r>
            <w:r w:rsidR="006A26C3">
              <w:rPr>
                <w:rFonts w:hint="cs"/>
                <w:b/>
                <w:bCs/>
                <w:noProof w:val="0"/>
                <w:rtl/>
              </w:rPr>
              <w:t>'</w:t>
            </w:r>
            <w:r>
              <w:rPr>
                <w:b/>
                <w:bCs/>
                <w:noProof w:val="0"/>
                <w:rtl/>
              </w:rPr>
              <w:t xml:space="preserve"> ח</w:t>
            </w:r>
            <w:r w:rsidR="006A26C3">
              <w:rPr>
                <w:rFonts w:hint="cs"/>
                <w:b/>
                <w:bCs/>
                <w:noProof w:val="0"/>
                <w:rtl/>
              </w:rPr>
              <w:t>'</w:t>
            </w:r>
          </w:p>
          <w:p w:rsidR="0071081D" w:rsidRDefault="0071081D">
            <w:pPr>
              <w:rPr>
                <w:noProof w:val="0"/>
                <w:rtl/>
              </w:rPr>
            </w:pPr>
            <w:r>
              <w:rPr>
                <w:noProof w:val="0"/>
                <w:rtl/>
              </w:rPr>
              <w:t>ע"י ב"כ עו"ד משה פטל</w:t>
            </w:r>
          </w:p>
          <w:p w:rsidR="0071081D" w:rsidRDefault="0071081D">
            <w:pPr>
              <w:rPr>
                <w:b/>
                <w:bCs/>
                <w:noProof w:val="0"/>
                <w:rtl/>
              </w:rPr>
            </w:pPr>
          </w:p>
        </w:tc>
      </w:tr>
      <w:tr w:rsidR="0071081D" w:rsidTr="0071081D">
        <w:trPr>
          <w:gridAfter w:val="1"/>
          <w:wAfter w:w="46" w:type="dxa"/>
          <w:trHeight w:val="692"/>
        </w:trPr>
        <w:tc>
          <w:tcPr>
            <w:tcW w:w="8802" w:type="dxa"/>
            <w:gridSpan w:val="2"/>
          </w:tcPr>
          <w:p w:rsidR="0071081D" w:rsidRDefault="0071081D">
            <w:pPr>
              <w:jc w:val="center"/>
              <w:rPr>
                <w:b/>
                <w:bCs/>
                <w:noProof w:val="0"/>
                <w:sz w:val="26"/>
                <w:szCs w:val="26"/>
                <w:rtl/>
              </w:rPr>
            </w:pPr>
          </w:p>
        </w:tc>
      </w:tr>
      <w:tr w:rsidR="0071081D" w:rsidTr="0071081D">
        <w:tc>
          <w:tcPr>
            <w:tcW w:w="8848" w:type="dxa"/>
            <w:gridSpan w:val="3"/>
            <w:hideMark/>
          </w:tcPr>
          <w:p w:rsidR="0071081D" w:rsidRDefault="0071081D">
            <w:pPr>
              <w:bidi w:val="0"/>
              <w:spacing w:line="360" w:lineRule="auto"/>
              <w:ind w:hanging="720"/>
              <w:jc w:val="center"/>
              <w:rPr>
                <w:rFonts w:ascii="Arial" w:hAnsi="Arial"/>
                <w:b/>
                <w:bCs/>
                <w:noProof w:val="0"/>
                <w:sz w:val="28"/>
                <w:szCs w:val="28"/>
                <w:u w:val="single"/>
                <w:rtl/>
              </w:rPr>
            </w:pPr>
            <w:r>
              <w:rPr>
                <w:rFonts w:ascii="Arial" w:hAnsi="Arial"/>
                <w:b/>
                <w:bCs/>
                <w:noProof w:val="0"/>
                <w:sz w:val="32"/>
                <w:szCs w:val="32"/>
                <w:u w:val="single"/>
                <w:rtl/>
              </w:rPr>
              <w:t>פסק דין</w:t>
            </w:r>
          </w:p>
        </w:tc>
      </w:tr>
    </w:tbl>
    <w:p w:rsidR="0071081D" w:rsidRDefault="0071081D" w:rsidP="0071081D">
      <w:pPr>
        <w:spacing w:line="360" w:lineRule="auto"/>
        <w:ind w:left="720" w:hanging="720"/>
        <w:jc w:val="both"/>
        <w:rPr>
          <w:rFonts w:ascii="Calibri" w:hAnsi="Calibri"/>
          <w:noProof w:val="0"/>
          <w:sz w:val="12"/>
          <w:szCs w:val="12"/>
        </w:rPr>
      </w:pPr>
    </w:p>
    <w:p w:rsidR="0071081D" w:rsidRDefault="0071081D" w:rsidP="00C7482E">
      <w:pPr>
        <w:spacing w:after="120" w:line="360" w:lineRule="auto"/>
        <w:contextualSpacing/>
        <w:jc w:val="both"/>
        <w:rPr>
          <w:rFonts w:ascii="Calibri" w:hAnsi="Calibri"/>
          <w:noProof w:val="0"/>
          <w:rtl/>
        </w:rPr>
      </w:pPr>
      <w:r>
        <w:rPr>
          <w:rFonts w:ascii="Calibri" w:hAnsi="Calibri"/>
          <w:noProof w:val="0"/>
          <w:rtl/>
        </w:rPr>
        <w:t xml:space="preserve">מונחת לפני תביעה כספית שהגישו התובעים – אחיו </w:t>
      </w:r>
      <w:r w:rsidR="00D42F16">
        <w:rPr>
          <w:rFonts w:ascii="Calibri" w:hAnsi="Calibri" w:hint="cs"/>
          <w:noProof w:val="0"/>
          <w:rtl/>
        </w:rPr>
        <w:t xml:space="preserve">ואחותו </w:t>
      </w:r>
      <w:r>
        <w:rPr>
          <w:rFonts w:ascii="Calibri" w:hAnsi="Calibri"/>
          <w:noProof w:val="0"/>
          <w:rtl/>
        </w:rPr>
        <w:t>של הנתבע 1 (להלן: "</w:t>
      </w:r>
      <w:r>
        <w:rPr>
          <w:rFonts w:ascii="Calibri" w:hAnsi="Calibri"/>
          <w:b/>
          <w:bCs/>
          <w:noProof w:val="0"/>
          <w:rtl/>
        </w:rPr>
        <w:t>הנתבע</w:t>
      </w:r>
      <w:r>
        <w:rPr>
          <w:rFonts w:ascii="Calibri" w:hAnsi="Calibri"/>
          <w:noProof w:val="0"/>
          <w:rtl/>
        </w:rPr>
        <w:t>") - במסגרתה עתרו להורות לנתבע ולבת זוגו לשעבר להעביר לידיהם סך של 194,565 ₪ שמצוי בחשבון הבנק המשותף שלהם בבנק אוצר החייל (להלן: "</w:t>
      </w:r>
      <w:r>
        <w:rPr>
          <w:rFonts w:ascii="Calibri" w:hAnsi="Calibri"/>
          <w:b/>
          <w:bCs/>
          <w:noProof w:val="0"/>
          <w:rtl/>
        </w:rPr>
        <w:t>חשבון הבנק המשותף</w:t>
      </w:r>
      <w:r>
        <w:rPr>
          <w:rFonts w:ascii="Calibri" w:hAnsi="Calibri"/>
          <w:noProof w:val="0"/>
          <w:rtl/>
        </w:rPr>
        <w:t xml:space="preserve">"). </w:t>
      </w:r>
    </w:p>
    <w:p w:rsidR="0071081D" w:rsidRDefault="0071081D" w:rsidP="0071081D">
      <w:pPr>
        <w:spacing w:after="120" w:line="360" w:lineRule="auto"/>
        <w:ind w:left="720" w:hanging="720"/>
        <w:contextualSpacing/>
        <w:jc w:val="both"/>
        <w:rPr>
          <w:rFonts w:ascii="Calibri" w:hAnsi="Calibri"/>
          <w:noProof w:val="0"/>
          <w:sz w:val="12"/>
          <w:szCs w:val="12"/>
        </w:rPr>
      </w:pPr>
    </w:p>
    <w:p w:rsidR="0071081D" w:rsidRDefault="0071081D" w:rsidP="0071081D">
      <w:pPr>
        <w:spacing w:after="120" w:line="360" w:lineRule="auto"/>
        <w:ind w:left="720" w:hanging="720"/>
        <w:jc w:val="both"/>
        <w:rPr>
          <w:rFonts w:ascii="Calibri" w:hAnsi="Calibri"/>
          <w:noProof w:val="0"/>
        </w:rPr>
      </w:pPr>
      <w:r>
        <w:rPr>
          <w:rFonts w:ascii="Calibri" w:hAnsi="Calibri"/>
          <w:b/>
          <w:bCs/>
          <w:noProof w:val="0"/>
          <w:u w:val="single"/>
          <w:rtl/>
        </w:rPr>
        <w:t>תמצית העובדות הצריכות לעניין</w:t>
      </w:r>
      <w:r>
        <w:rPr>
          <w:rFonts w:ascii="Calibri" w:hAnsi="Calibri"/>
          <w:noProof w:val="0"/>
          <w:rtl/>
        </w:rPr>
        <w:t>:</w:t>
      </w:r>
    </w:p>
    <w:p w:rsidR="0071081D" w:rsidRDefault="0071081D" w:rsidP="0071081D">
      <w:pPr>
        <w:spacing w:after="120" w:line="360" w:lineRule="auto"/>
        <w:ind w:left="720" w:hanging="720"/>
        <w:contextualSpacing/>
        <w:rPr>
          <w:rFonts w:ascii="Calibri" w:hAnsi="Calibri"/>
          <w:noProof w:val="0"/>
          <w:sz w:val="12"/>
          <w:szCs w:val="12"/>
        </w:rPr>
      </w:pPr>
    </w:p>
    <w:p w:rsidR="0071081D" w:rsidRDefault="0071081D" w:rsidP="0071081D">
      <w:pPr>
        <w:numPr>
          <w:ilvl w:val="0"/>
          <w:numId w:val="1"/>
        </w:numPr>
        <w:spacing w:after="120" w:line="360" w:lineRule="auto"/>
        <w:ind w:hanging="720"/>
        <w:contextualSpacing/>
        <w:jc w:val="both"/>
        <w:rPr>
          <w:rFonts w:ascii="Calibri" w:hAnsi="Calibri"/>
          <w:noProof w:val="0"/>
          <w:rtl/>
        </w:rPr>
      </w:pPr>
      <w:r>
        <w:rPr>
          <w:rFonts w:ascii="Calibri" w:hAnsi="Calibri"/>
          <w:noProof w:val="0"/>
          <w:rtl/>
        </w:rPr>
        <w:t>כאמור, התובעים 1-2 והנתבע הינם אחים.</w:t>
      </w:r>
    </w:p>
    <w:p w:rsidR="0071081D" w:rsidRDefault="0071081D" w:rsidP="0071081D">
      <w:pPr>
        <w:spacing w:after="120" w:line="360" w:lineRule="auto"/>
        <w:ind w:left="720"/>
        <w:contextualSpacing/>
        <w:jc w:val="both"/>
        <w:rPr>
          <w:rFonts w:ascii="David" w:hAnsi="David"/>
          <w:noProof w:val="0"/>
          <w:sz w:val="12"/>
          <w:szCs w:val="12"/>
        </w:rPr>
      </w:pPr>
      <w:r>
        <w:rPr>
          <w:rFonts w:ascii="Calibri" w:hAnsi="Calibri"/>
          <w:noProof w:val="0"/>
          <w:rtl/>
        </w:rPr>
        <w:t xml:space="preserve"> </w:t>
      </w:r>
    </w:p>
    <w:p w:rsidR="0071081D" w:rsidRDefault="0071081D" w:rsidP="0071081D">
      <w:pPr>
        <w:numPr>
          <w:ilvl w:val="0"/>
          <w:numId w:val="1"/>
        </w:numPr>
        <w:spacing w:after="120" w:line="360" w:lineRule="auto"/>
        <w:ind w:hanging="720"/>
        <w:contextualSpacing/>
        <w:jc w:val="both"/>
        <w:rPr>
          <w:rFonts w:ascii="Calibri" w:hAnsi="Calibri"/>
          <w:noProof w:val="0"/>
        </w:rPr>
      </w:pPr>
      <w:r>
        <w:rPr>
          <w:rFonts w:ascii="Calibri" w:hAnsi="Calibri"/>
          <w:noProof w:val="0"/>
          <w:rtl/>
        </w:rPr>
        <w:t>הנתבעת 2 (להלן: "</w:t>
      </w:r>
      <w:r>
        <w:rPr>
          <w:rFonts w:ascii="Calibri" w:hAnsi="Calibri"/>
          <w:b/>
          <w:bCs/>
          <w:noProof w:val="0"/>
          <w:rtl/>
        </w:rPr>
        <w:t>הנתבעת</w:t>
      </w:r>
      <w:r>
        <w:rPr>
          <w:rFonts w:ascii="Calibri" w:hAnsi="Calibri"/>
          <w:noProof w:val="0"/>
          <w:rtl/>
        </w:rPr>
        <w:t>") הינה בת זוגו לשעבר של הנתבע (יוער, כי לא ידוע האם הצדדים התגרשו זמ"ז) (להלן שניהם ביחד: "</w:t>
      </w:r>
      <w:r>
        <w:rPr>
          <w:rFonts w:ascii="Calibri" w:hAnsi="Calibri"/>
          <w:b/>
          <w:bCs/>
          <w:noProof w:val="0"/>
          <w:rtl/>
        </w:rPr>
        <w:t>בני הזוג</w:t>
      </w:r>
      <w:r>
        <w:rPr>
          <w:rFonts w:ascii="Calibri" w:hAnsi="Calibri"/>
          <w:noProof w:val="0"/>
          <w:rtl/>
        </w:rPr>
        <w:t>"; "</w:t>
      </w:r>
      <w:r>
        <w:rPr>
          <w:rFonts w:ascii="Calibri" w:hAnsi="Calibri"/>
          <w:b/>
          <w:bCs/>
          <w:noProof w:val="0"/>
          <w:rtl/>
        </w:rPr>
        <w:t>הנתבעים</w:t>
      </w:r>
      <w:r>
        <w:rPr>
          <w:rFonts w:ascii="Calibri" w:hAnsi="Calibri"/>
          <w:noProof w:val="0"/>
          <w:rtl/>
        </w:rPr>
        <w:t>").</w:t>
      </w:r>
    </w:p>
    <w:p w:rsidR="0071081D" w:rsidRDefault="0071081D" w:rsidP="0071081D">
      <w:pPr>
        <w:pStyle w:val="af"/>
        <w:rPr>
          <w:rFonts w:ascii="Calibri" w:hAnsi="Calibri"/>
          <w:noProof w:val="0"/>
          <w:sz w:val="12"/>
          <w:szCs w:val="12"/>
        </w:rPr>
      </w:pPr>
    </w:p>
    <w:p w:rsidR="0071081D" w:rsidRDefault="0071081D" w:rsidP="0071081D">
      <w:pPr>
        <w:numPr>
          <w:ilvl w:val="0"/>
          <w:numId w:val="1"/>
        </w:numPr>
        <w:spacing w:after="120" w:line="360" w:lineRule="auto"/>
        <w:ind w:hanging="720"/>
        <w:contextualSpacing/>
        <w:jc w:val="both"/>
        <w:rPr>
          <w:rFonts w:ascii="Calibri" w:hAnsi="Calibri"/>
          <w:noProof w:val="0"/>
          <w:rtl/>
        </w:rPr>
      </w:pPr>
      <w:r>
        <w:rPr>
          <w:rFonts w:ascii="Calibri" w:hAnsi="Calibri"/>
          <w:noProof w:val="0"/>
          <w:rtl/>
        </w:rPr>
        <w:t xml:space="preserve">בין בני הזוג נתגלע סכסוך בעטיו הגישה הנתבעת תביעות לביהמ"ש זה בענייני מזונות, משמורת ורכושם של הצדדים. </w:t>
      </w:r>
    </w:p>
    <w:p w:rsidR="0071081D" w:rsidRDefault="0071081D" w:rsidP="0071081D">
      <w:pPr>
        <w:pStyle w:val="af"/>
        <w:rPr>
          <w:rFonts w:ascii="Calibri" w:hAnsi="Calibri"/>
          <w:noProof w:val="0"/>
          <w:sz w:val="12"/>
          <w:szCs w:val="12"/>
        </w:rPr>
      </w:pPr>
    </w:p>
    <w:p w:rsidR="0071081D" w:rsidRDefault="0071081D" w:rsidP="0071081D">
      <w:pPr>
        <w:numPr>
          <w:ilvl w:val="0"/>
          <w:numId w:val="1"/>
        </w:numPr>
        <w:spacing w:after="120" w:line="360" w:lineRule="auto"/>
        <w:ind w:hanging="720"/>
        <w:contextualSpacing/>
        <w:jc w:val="both"/>
        <w:rPr>
          <w:rFonts w:ascii="Calibri" w:hAnsi="Calibri"/>
          <w:noProof w:val="0"/>
          <w:rtl/>
        </w:rPr>
      </w:pPr>
      <w:r>
        <w:rPr>
          <w:rFonts w:ascii="Calibri" w:hAnsi="Calibri"/>
          <w:noProof w:val="0"/>
          <w:rtl/>
        </w:rPr>
        <w:t xml:space="preserve">יצוין, כי לאחר שהתנהלו הליכים ממושכים ובמועד הקבוע לשמיעת ההוכחות, הגיעו בני הזוג להסכמות כוללות (למעט בקשר לתביעה זו) ואלו פורטו בגדרי הסכם פשרה שאושר וקיבל תוקף של פסק דין ביום 18.5.20. </w:t>
      </w:r>
    </w:p>
    <w:p w:rsidR="0071081D" w:rsidRDefault="0071081D" w:rsidP="0071081D">
      <w:pPr>
        <w:pStyle w:val="af"/>
        <w:rPr>
          <w:rFonts w:ascii="Calibri" w:hAnsi="Calibri"/>
          <w:noProof w:val="0"/>
          <w:sz w:val="12"/>
          <w:szCs w:val="12"/>
        </w:rPr>
      </w:pPr>
    </w:p>
    <w:p w:rsidR="0071081D" w:rsidRDefault="0071081D" w:rsidP="0071081D">
      <w:pPr>
        <w:numPr>
          <w:ilvl w:val="0"/>
          <w:numId w:val="1"/>
        </w:numPr>
        <w:spacing w:after="120" w:line="360" w:lineRule="auto"/>
        <w:ind w:hanging="720"/>
        <w:contextualSpacing/>
        <w:jc w:val="both"/>
        <w:rPr>
          <w:rFonts w:ascii="Calibri" w:hAnsi="Calibri"/>
          <w:noProof w:val="0"/>
          <w:rtl/>
        </w:rPr>
      </w:pPr>
      <w:r>
        <w:rPr>
          <w:rFonts w:ascii="Calibri" w:hAnsi="Calibri"/>
          <w:noProof w:val="0"/>
          <w:rtl/>
        </w:rPr>
        <w:t>בסעיף 8 להסכם הפשרה נקבע בקשר לתביעה דנן כי "</w:t>
      </w:r>
      <w:r>
        <w:rPr>
          <w:rFonts w:ascii="Calibri" w:hAnsi="Calibri"/>
          <w:b/>
          <w:bCs/>
          <w:noProof w:val="0"/>
          <w:rtl/>
        </w:rPr>
        <w:t>התביעה שהגישו אחיו של הנתבע כנגד הצדדים תוכרע ע"י בית המשפט. בכפוף להכרעה זו, יפעלו הצדדים בהתאם לסגירת</w:t>
      </w:r>
      <w:r>
        <w:rPr>
          <w:rFonts w:ascii="Calibri" w:hAnsi="Calibri"/>
          <w:noProof w:val="0"/>
          <w:rtl/>
        </w:rPr>
        <w:t xml:space="preserve"> </w:t>
      </w:r>
      <w:r>
        <w:rPr>
          <w:rFonts w:ascii="Calibri" w:hAnsi="Calibri"/>
          <w:b/>
          <w:bCs/>
          <w:noProof w:val="0"/>
          <w:rtl/>
        </w:rPr>
        <w:t>החשבון המשותף ו/או חלוקתו ביניהם בחלקים שווים</w:t>
      </w:r>
      <w:r>
        <w:rPr>
          <w:rFonts w:ascii="Calibri" w:hAnsi="Calibri"/>
          <w:noProof w:val="0"/>
          <w:rtl/>
        </w:rPr>
        <w:t xml:space="preserve">".   </w:t>
      </w:r>
    </w:p>
    <w:p w:rsidR="0071081D" w:rsidRDefault="0071081D" w:rsidP="0071081D">
      <w:pPr>
        <w:spacing w:after="120" w:line="360" w:lineRule="auto"/>
        <w:contextualSpacing/>
        <w:jc w:val="both"/>
        <w:rPr>
          <w:rFonts w:ascii="Calibri" w:hAnsi="Calibri"/>
          <w:noProof w:val="0"/>
          <w:sz w:val="12"/>
          <w:szCs w:val="12"/>
        </w:rPr>
      </w:pPr>
    </w:p>
    <w:p w:rsidR="0071081D" w:rsidRDefault="0071081D" w:rsidP="0071081D">
      <w:pPr>
        <w:numPr>
          <w:ilvl w:val="0"/>
          <w:numId w:val="1"/>
        </w:numPr>
        <w:spacing w:after="120" w:line="360" w:lineRule="auto"/>
        <w:ind w:hanging="720"/>
        <w:contextualSpacing/>
        <w:jc w:val="both"/>
        <w:rPr>
          <w:rFonts w:ascii="Calibri" w:hAnsi="Calibri"/>
          <w:noProof w:val="0"/>
        </w:rPr>
      </w:pPr>
      <w:r>
        <w:rPr>
          <w:rFonts w:ascii="Calibri" w:hAnsi="Calibri"/>
          <w:noProof w:val="0"/>
          <w:rtl/>
        </w:rPr>
        <w:lastRenderedPageBreak/>
        <w:t xml:space="preserve">ביום 3.4.19 הגישו התובעים את התביעה דנן, במסגרתה עתרו להורות לנתבעים להעביר לידיהם את מלוא הכספים אשר הועברו ע"י הנתבע ביום 2.4.18 בסך 194,565 ₪ לחשבונם המשותף. </w:t>
      </w:r>
    </w:p>
    <w:p w:rsidR="0071081D" w:rsidRDefault="0071081D" w:rsidP="0071081D">
      <w:pPr>
        <w:pStyle w:val="af"/>
        <w:rPr>
          <w:rFonts w:ascii="Calibri" w:hAnsi="Calibri"/>
          <w:noProof w:val="0"/>
          <w:sz w:val="12"/>
          <w:szCs w:val="12"/>
        </w:rPr>
      </w:pPr>
    </w:p>
    <w:p w:rsidR="0071081D" w:rsidRDefault="0071081D" w:rsidP="0071081D">
      <w:pPr>
        <w:numPr>
          <w:ilvl w:val="0"/>
          <w:numId w:val="1"/>
        </w:numPr>
        <w:spacing w:after="120" w:line="360" w:lineRule="auto"/>
        <w:ind w:hanging="720"/>
        <w:contextualSpacing/>
        <w:jc w:val="both"/>
        <w:rPr>
          <w:rFonts w:ascii="Calibri" w:hAnsi="Calibri"/>
          <w:noProof w:val="0"/>
          <w:rtl/>
        </w:rPr>
      </w:pPr>
      <w:r>
        <w:rPr>
          <w:rFonts w:ascii="Calibri" w:hAnsi="Calibri"/>
          <w:noProof w:val="0"/>
          <w:rtl/>
        </w:rPr>
        <w:t xml:space="preserve">בתמצית ייאמר כי לטענת התובעים, כל אחד מהם משיקוליו שלו בחר להעביר כספים פרטיים שלו לידי אחיהם הנתבע מתוך אמון מלא בו כי ישמור על כספם בנאמנות עד למועד בו יבקשו את כספם בחזרה. </w:t>
      </w:r>
    </w:p>
    <w:p w:rsidR="0071081D" w:rsidRDefault="0071081D" w:rsidP="0071081D">
      <w:pPr>
        <w:pStyle w:val="af"/>
        <w:rPr>
          <w:rFonts w:ascii="Calibri" w:hAnsi="Calibri"/>
          <w:noProof w:val="0"/>
          <w:sz w:val="12"/>
          <w:szCs w:val="12"/>
        </w:rPr>
      </w:pPr>
    </w:p>
    <w:p w:rsidR="0071081D" w:rsidRDefault="0071081D" w:rsidP="0071081D">
      <w:pPr>
        <w:numPr>
          <w:ilvl w:val="0"/>
          <w:numId w:val="1"/>
        </w:numPr>
        <w:spacing w:after="120" w:line="360" w:lineRule="auto"/>
        <w:ind w:hanging="720"/>
        <w:contextualSpacing/>
        <w:jc w:val="both"/>
        <w:rPr>
          <w:rFonts w:ascii="Calibri" w:hAnsi="Calibri"/>
          <w:noProof w:val="0"/>
          <w:rtl/>
        </w:rPr>
      </w:pPr>
      <w:r>
        <w:rPr>
          <w:rFonts w:ascii="Calibri" w:hAnsi="Calibri"/>
          <w:noProof w:val="0"/>
          <w:u w:val="single"/>
          <w:rtl/>
        </w:rPr>
        <w:t>כך, על פי גרסת התובע</w:t>
      </w:r>
      <w:r>
        <w:rPr>
          <w:rFonts w:ascii="Calibri" w:hAnsi="Calibri"/>
          <w:noProof w:val="0"/>
          <w:rtl/>
        </w:rPr>
        <w:t>, בעקבות הליך פלילי שננקט כנגדו הוא נשפט ל-15 שנות מאסר כאשר ביום 13.1.04 הוא החל לרצות את עונש המאסר שנגזר עליו וביום 20.9.18 הוא שוחרר לשחרור מוקדם על תנאי. לדבריו, עקב הרשעה זו הוא פוטר מעבודתו בה עבד במשך שנים רבות בהוראה ועל כן ביקש את סיוע אחיו הנתבע בהתנהלותו הכלכלית לרבות משיכת כספים אשר הצטברו על שמו בקופות השונות במהלך עבודתו. על כן, כך לטענת התובע, ביום 8.7.07 חתם התובע על יפוי כוח כללי לטובת הנתבע וזאת על מנת שיוכל הנתבע לטפל בענייניו הכלכליים ולמשוך את הכספים אשר הצטברו לזכותו ועל שמו בקופות השונות ולשמור את הכספים בנאמנות אצלו עד ליציאתו מהכלא. לדברי התובע, באמצעות יפוי הכוח הנ"ל, פעל הנתבע למשוך את הכספים אשר הצטברו לזכותו של התובע וזאת תוך ידיעתה והסכמתה של הנתבעת.</w:t>
      </w:r>
    </w:p>
    <w:p w:rsidR="0071081D" w:rsidRDefault="0071081D" w:rsidP="0071081D">
      <w:pPr>
        <w:pStyle w:val="af"/>
        <w:rPr>
          <w:rFonts w:ascii="Calibri" w:hAnsi="Calibri"/>
          <w:noProof w:val="0"/>
          <w:sz w:val="12"/>
          <w:szCs w:val="12"/>
        </w:rPr>
      </w:pPr>
    </w:p>
    <w:p w:rsidR="0071081D" w:rsidRDefault="0071081D" w:rsidP="00076451">
      <w:pPr>
        <w:numPr>
          <w:ilvl w:val="0"/>
          <w:numId w:val="1"/>
        </w:numPr>
        <w:spacing w:after="120" w:line="360" w:lineRule="auto"/>
        <w:ind w:hanging="720"/>
        <w:contextualSpacing/>
        <w:jc w:val="both"/>
        <w:rPr>
          <w:rFonts w:ascii="Calibri" w:hAnsi="Calibri"/>
          <w:noProof w:val="0"/>
          <w:rtl/>
        </w:rPr>
      </w:pPr>
      <w:r>
        <w:rPr>
          <w:rFonts w:ascii="Calibri" w:hAnsi="Calibri" w:hint="cs"/>
          <w:noProof w:val="0"/>
          <w:rtl/>
        </w:rPr>
        <w:t xml:space="preserve">על </w:t>
      </w:r>
      <w:r>
        <w:rPr>
          <w:rFonts w:ascii="Calibri" w:hAnsi="Calibri"/>
          <w:noProof w:val="0"/>
          <w:rtl/>
        </w:rPr>
        <w:t xml:space="preserve">כן, לטענת התובע, במהלך שנת 2007 ושנת 2008 נמשכו ע"י הנתבע כספים מהקופות השונות השייכות לתובע, כמפורט בסעיף 4 (א)-(ה) לכתב התביעה בסך של 208,055 ₪ אשר הועברו לחשבון מספר </w:t>
      </w:r>
      <w:r w:rsidR="00076451">
        <w:rPr>
          <w:rFonts w:ascii="Calibri" w:hAnsi="Calibri" w:hint="cs"/>
          <w:noProof w:val="0"/>
          <w:rtl/>
        </w:rPr>
        <w:t xml:space="preserve">--- </w:t>
      </w:r>
      <w:r>
        <w:rPr>
          <w:rFonts w:ascii="Calibri" w:hAnsi="Calibri"/>
          <w:noProof w:val="0"/>
          <w:rtl/>
        </w:rPr>
        <w:t>שהתנהל על שם הנתבע בבנק בינלאומי הראשון (להלן: "</w:t>
      </w:r>
      <w:r>
        <w:rPr>
          <w:rFonts w:ascii="Calibri" w:hAnsi="Calibri"/>
          <w:b/>
          <w:bCs/>
          <w:noProof w:val="0"/>
          <w:rtl/>
        </w:rPr>
        <w:t>החשבון בבנק הבינלאומי</w:t>
      </w:r>
      <w:r>
        <w:rPr>
          <w:rFonts w:ascii="Calibri" w:hAnsi="Calibri"/>
          <w:noProof w:val="0"/>
          <w:rtl/>
        </w:rPr>
        <w:t xml:space="preserve">"). לטענת התובע, מדובר בחשבון בנק אליו הופקדו כספים שנמשכו מהקופות השונות של התובע בלבד. </w:t>
      </w:r>
      <w:r>
        <w:rPr>
          <w:rFonts w:ascii="Calibri" w:hAnsi="Calibri" w:hint="cs"/>
          <w:noProof w:val="0"/>
          <w:rtl/>
        </w:rPr>
        <w:t xml:space="preserve">כן, </w:t>
      </w:r>
      <w:r>
        <w:rPr>
          <w:rFonts w:ascii="Calibri" w:hAnsi="Calibri"/>
          <w:noProof w:val="0"/>
          <w:rtl/>
        </w:rPr>
        <w:t>במהלך השנים הוצאו הוצאות שונות מהחשבון זה למימון שכ"ט עו"ד שטפלו בעניינו של התובע בעת שהותו בכלא וכן הוצאות נוספות</w:t>
      </w:r>
      <w:r>
        <w:rPr>
          <w:rFonts w:ascii="Calibri" w:hAnsi="Calibri" w:hint="cs"/>
          <w:noProof w:val="0"/>
          <w:rtl/>
        </w:rPr>
        <w:t xml:space="preserve"> עבורו</w:t>
      </w:r>
      <w:r>
        <w:rPr>
          <w:rFonts w:ascii="Calibri" w:hAnsi="Calibri"/>
          <w:noProof w:val="0"/>
          <w:rtl/>
        </w:rPr>
        <w:t xml:space="preserve">, כך שהסכום שנותר בחשבון הבנק ששייך לתובע עמד על סך של 138,200 ₪. </w:t>
      </w:r>
    </w:p>
    <w:p w:rsidR="0071081D" w:rsidRDefault="0071081D" w:rsidP="0071081D">
      <w:pPr>
        <w:pStyle w:val="af"/>
        <w:rPr>
          <w:rFonts w:ascii="Calibri" w:hAnsi="Calibri"/>
          <w:noProof w:val="0"/>
          <w:sz w:val="12"/>
          <w:szCs w:val="12"/>
        </w:rPr>
      </w:pPr>
    </w:p>
    <w:p w:rsidR="0071081D" w:rsidRDefault="0071081D" w:rsidP="00076451">
      <w:pPr>
        <w:numPr>
          <w:ilvl w:val="0"/>
          <w:numId w:val="1"/>
        </w:numPr>
        <w:spacing w:after="120" w:line="360" w:lineRule="auto"/>
        <w:ind w:hanging="720"/>
        <w:contextualSpacing/>
        <w:jc w:val="both"/>
        <w:rPr>
          <w:rFonts w:ascii="Calibri" w:hAnsi="Calibri"/>
          <w:noProof w:val="0"/>
          <w:rtl/>
        </w:rPr>
      </w:pPr>
      <w:r>
        <w:rPr>
          <w:rFonts w:ascii="Calibri" w:hAnsi="Calibri"/>
          <w:noProof w:val="0"/>
          <w:rtl/>
        </w:rPr>
        <w:t xml:space="preserve">לטענת התובע, בשלב מסוים, במהלך החודשים 4-5/2008 ובמועדים חופפים (כמפורט בסעיף 10 (א)-(ד) לכתב התביעה) משך הנתבע את כל הסכומים שנשמרו על ידו בנאמנות עבור התובע בחשבון בבנק הבינלאומי בסך 138,200 ₪ והעבירם לחשבון חדש בבנק דיסקונט מספר </w:t>
      </w:r>
      <w:r w:rsidR="00076451">
        <w:rPr>
          <w:rFonts w:ascii="Calibri" w:hAnsi="Calibri" w:hint="cs"/>
          <w:noProof w:val="0"/>
          <w:rtl/>
        </w:rPr>
        <w:t>---</w:t>
      </w:r>
      <w:r>
        <w:rPr>
          <w:rFonts w:ascii="Calibri" w:hAnsi="Calibri"/>
          <w:noProof w:val="0"/>
          <w:rtl/>
        </w:rPr>
        <w:t xml:space="preserve"> (להלן: "</w:t>
      </w:r>
      <w:r>
        <w:rPr>
          <w:rFonts w:ascii="Calibri" w:hAnsi="Calibri"/>
          <w:b/>
          <w:bCs/>
          <w:noProof w:val="0"/>
          <w:rtl/>
        </w:rPr>
        <w:t>החשבון בבנק דיסקונט</w:t>
      </w:r>
      <w:r>
        <w:rPr>
          <w:rFonts w:ascii="Calibri" w:hAnsi="Calibri"/>
          <w:noProof w:val="0"/>
          <w:rtl/>
        </w:rPr>
        <w:t xml:space="preserve">"). </w:t>
      </w:r>
    </w:p>
    <w:p w:rsidR="0071081D" w:rsidRDefault="0071081D" w:rsidP="0071081D">
      <w:pPr>
        <w:pStyle w:val="af"/>
        <w:rPr>
          <w:rFonts w:ascii="Calibri" w:hAnsi="Calibri"/>
          <w:noProof w:val="0"/>
          <w:sz w:val="12"/>
          <w:szCs w:val="12"/>
        </w:rPr>
      </w:pPr>
    </w:p>
    <w:p w:rsidR="0071081D" w:rsidRDefault="0071081D" w:rsidP="0071081D">
      <w:pPr>
        <w:numPr>
          <w:ilvl w:val="0"/>
          <w:numId w:val="1"/>
        </w:numPr>
        <w:spacing w:after="120" w:line="360" w:lineRule="auto"/>
        <w:ind w:hanging="720"/>
        <w:contextualSpacing/>
        <w:jc w:val="both"/>
        <w:rPr>
          <w:rFonts w:ascii="Calibri" w:hAnsi="Calibri"/>
          <w:noProof w:val="0"/>
          <w:rtl/>
        </w:rPr>
      </w:pPr>
      <w:r>
        <w:rPr>
          <w:rFonts w:ascii="Calibri" w:hAnsi="Calibri"/>
          <w:noProof w:val="0"/>
          <w:u w:val="single"/>
          <w:rtl/>
        </w:rPr>
        <w:t>יצוין, כי על פי גרסת התובעת</w:t>
      </w:r>
      <w:r>
        <w:rPr>
          <w:rFonts w:ascii="Calibri" w:hAnsi="Calibri"/>
          <w:noProof w:val="0"/>
          <w:rtl/>
        </w:rPr>
        <w:t xml:space="preserve">, בשל סכסוך של התובעת עם בעלה באותה עת ומתוך אמון שנתנה בנתבע, העבירה התובעת לנתבע במהלך שנת 2010 ושנת 2012 כספים על מנת שישמור לה אותם בנאמנות אצלו כמפורט בסעיף 13 (א)-(ג) לכתב התביעה. בסך הכל העבירה התובעת לחשבון הנתבע בבנק דיסקונט סך של 85,000 ₪ בהתאם להעברות הנ"ל.   </w:t>
      </w:r>
    </w:p>
    <w:p w:rsidR="0071081D" w:rsidRDefault="0071081D" w:rsidP="0071081D">
      <w:pPr>
        <w:pStyle w:val="af"/>
        <w:rPr>
          <w:rFonts w:ascii="Calibri" w:hAnsi="Calibri"/>
          <w:noProof w:val="0"/>
          <w:sz w:val="12"/>
          <w:szCs w:val="12"/>
        </w:rPr>
      </w:pPr>
    </w:p>
    <w:p w:rsidR="0071081D" w:rsidRDefault="0071081D" w:rsidP="0071081D">
      <w:pPr>
        <w:numPr>
          <w:ilvl w:val="0"/>
          <w:numId w:val="1"/>
        </w:numPr>
        <w:spacing w:after="120" w:line="360" w:lineRule="auto"/>
        <w:ind w:hanging="720"/>
        <w:contextualSpacing/>
        <w:jc w:val="both"/>
        <w:rPr>
          <w:rFonts w:ascii="Calibri" w:hAnsi="Calibri"/>
          <w:noProof w:val="0"/>
          <w:rtl/>
        </w:rPr>
      </w:pPr>
      <w:r>
        <w:rPr>
          <w:rFonts w:ascii="Calibri" w:hAnsi="Calibri"/>
          <w:noProof w:val="0"/>
          <w:rtl/>
        </w:rPr>
        <w:t xml:space="preserve">יוצא אפוא כי בהתאם לגרסת התובעים, הכספים המצויים בחשבון בבנק דיסקונט הינם כספים ששייכים אך ורק להם אשר נכון ליום 30.3.18 עומדים על סך של 194,565 ₪. </w:t>
      </w:r>
    </w:p>
    <w:p w:rsidR="0071081D" w:rsidRDefault="0071081D" w:rsidP="0071081D">
      <w:pPr>
        <w:pStyle w:val="af"/>
        <w:rPr>
          <w:rFonts w:ascii="Calibri" w:hAnsi="Calibri"/>
          <w:noProof w:val="0"/>
          <w:sz w:val="12"/>
          <w:szCs w:val="12"/>
        </w:rPr>
      </w:pPr>
    </w:p>
    <w:p w:rsidR="0071081D" w:rsidRDefault="0071081D" w:rsidP="0071081D">
      <w:pPr>
        <w:numPr>
          <w:ilvl w:val="0"/>
          <w:numId w:val="1"/>
        </w:numPr>
        <w:spacing w:after="120" w:line="360" w:lineRule="auto"/>
        <w:ind w:hanging="720"/>
        <w:contextualSpacing/>
        <w:jc w:val="both"/>
        <w:rPr>
          <w:rFonts w:ascii="Calibri" w:hAnsi="Calibri"/>
          <w:noProof w:val="0"/>
          <w:rtl/>
        </w:rPr>
      </w:pPr>
      <w:r>
        <w:rPr>
          <w:rFonts w:ascii="Calibri" w:hAnsi="Calibri"/>
          <w:noProof w:val="0"/>
          <w:rtl/>
        </w:rPr>
        <w:t xml:space="preserve">לטענת התובעים, ביום 2.4.18 החליט הנתבע מטעמי נוחות ומתוך אמון מלא בנתבעת להעביר את מלוא הסכומים בחשבון הנ"ל לחשבון המשותף המתנהל על שמו ועל שם הנתבעת בבנק אוצר החייל תוך שהיה ברור כי הנתבע נתבקש לשמור על כספים אלו בנאמנות עבור התובעים. בשלב מסוים, פנו התובעים לנתבע וביקשו להעביר אליהם את כספם, אולם בשל ההליכים המשפטיים המתנהלים בין בני הזוג לא ניתן היה להשיב לתובעים את כספם. משכך, הגישו התובעים את התביעה דנן. </w:t>
      </w:r>
    </w:p>
    <w:p w:rsidR="0071081D" w:rsidRDefault="0071081D" w:rsidP="0071081D">
      <w:pPr>
        <w:pStyle w:val="af"/>
        <w:rPr>
          <w:rFonts w:ascii="Calibri" w:hAnsi="Calibri"/>
          <w:noProof w:val="0"/>
          <w:sz w:val="12"/>
          <w:szCs w:val="12"/>
        </w:rPr>
      </w:pPr>
    </w:p>
    <w:p w:rsidR="0071081D" w:rsidRDefault="0071081D" w:rsidP="00D42F16">
      <w:pPr>
        <w:numPr>
          <w:ilvl w:val="0"/>
          <w:numId w:val="1"/>
        </w:numPr>
        <w:spacing w:after="120" w:line="360" w:lineRule="auto"/>
        <w:ind w:hanging="720"/>
        <w:contextualSpacing/>
        <w:jc w:val="both"/>
        <w:rPr>
          <w:rFonts w:ascii="Calibri" w:hAnsi="Calibri"/>
          <w:noProof w:val="0"/>
          <w:rtl/>
        </w:rPr>
      </w:pPr>
      <w:r>
        <w:rPr>
          <w:rFonts w:ascii="Calibri" w:hAnsi="Calibri"/>
          <w:noProof w:val="0"/>
          <w:rtl/>
        </w:rPr>
        <w:t xml:space="preserve">הנתבעת מצידה מכחישה טענות אלו. לדבריה, טענות </w:t>
      </w:r>
      <w:r w:rsidR="00D42F16">
        <w:rPr>
          <w:rFonts w:ascii="Calibri" w:hAnsi="Calibri" w:hint="cs"/>
          <w:noProof w:val="0"/>
          <w:rtl/>
        </w:rPr>
        <w:t>התובעים</w:t>
      </w:r>
      <w:r>
        <w:rPr>
          <w:rFonts w:ascii="Calibri" w:hAnsi="Calibri"/>
          <w:noProof w:val="0"/>
          <w:rtl/>
        </w:rPr>
        <w:t xml:space="preserve"> נוגדות את הסכמת בני הזוג לאיזון משאבים בכלל רכושם כולל חלוקה שווה בכספי חשבון הבנק המשותף ונוגדות את הלכת השיתוף  בין בני הזוג בפועל. </w:t>
      </w:r>
      <w:r>
        <w:rPr>
          <w:rFonts w:ascii="Calibri" w:hAnsi="Calibri" w:hint="cs"/>
          <w:noProof w:val="0"/>
          <w:rtl/>
        </w:rPr>
        <w:t xml:space="preserve">כן, לטענתה, </w:t>
      </w:r>
      <w:r>
        <w:rPr>
          <w:rFonts w:ascii="Calibri" w:hAnsi="Calibri"/>
          <w:noProof w:val="0"/>
          <w:rtl/>
        </w:rPr>
        <w:t>הנתבע אמר לה לפני שנים רבות, למעלה מ-10 שנים, כי בכוונת</w:t>
      </w:r>
      <w:r w:rsidR="00D42F16">
        <w:rPr>
          <w:rFonts w:ascii="Calibri" w:hAnsi="Calibri" w:hint="cs"/>
          <w:noProof w:val="0"/>
          <w:rtl/>
        </w:rPr>
        <w:t xml:space="preserve"> התובעים </w:t>
      </w:r>
      <w:r>
        <w:rPr>
          <w:rFonts w:ascii="Calibri" w:hAnsi="Calibri"/>
          <w:noProof w:val="0"/>
          <w:rtl/>
        </w:rPr>
        <w:t>להעביר אליו כספים של</w:t>
      </w:r>
      <w:r w:rsidR="00D42F16">
        <w:rPr>
          <w:rFonts w:ascii="Calibri" w:hAnsi="Calibri" w:hint="cs"/>
          <w:noProof w:val="0"/>
          <w:rtl/>
        </w:rPr>
        <w:t>הם</w:t>
      </w:r>
      <w:r>
        <w:rPr>
          <w:rFonts w:ascii="Calibri" w:hAnsi="Calibri"/>
          <w:noProof w:val="0"/>
          <w:rtl/>
        </w:rPr>
        <w:t>, אולם התובעת לא ידעה דבר על התנהלות זו ואף לא נתנה כל הסכמה כי כספים אלו יישמרו בחשבון המשותף של הצדדים</w:t>
      </w:r>
      <w:r>
        <w:rPr>
          <w:rFonts w:ascii="Calibri" w:hAnsi="Calibri" w:hint="cs"/>
          <w:noProof w:val="0"/>
          <w:rtl/>
        </w:rPr>
        <w:t xml:space="preserve"> כל שכן לצורך שמירתם בנאמנות עבור התובעים</w:t>
      </w:r>
      <w:r>
        <w:rPr>
          <w:rFonts w:ascii="Calibri" w:hAnsi="Calibri"/>
          <w:noProof w:val="0"/>
          <w:rtl/>
        </w:rPr>
        <w:t xml:space="preserve">. משכך, לא ניתן לחייב את הנתבעת ללא הסכמתה </w:t>
      </w:r>
      <w:r>
        <w:rPr>
          <w:rFonts w:ascii="Calibri" w:hAnsi="Calibri" w:hint="cs"/>
          <w:noProof w:val="0"/>
          <w:rtl/>
        </w:rPr>
        <w:t>להשיב לידי התובעת את הכספים הנטענים אשר מצויים בחשבון הבנק המשותף של בני הזוג ושייכים להם</w:t>
      </w:r>
      <w:r>
        <w:rPr>
          <w:rFonts w:ascii="Calibri" w:hAnsi="Calibri"/>
          <w:noProof w:val="0"/>
          <w:rtl/>
        </w:rPr>
        <w:t xml:space="preserve">.  </w:t>
      </w:r>
    </w:p>
    <w:p w:rsidR="0071081D" w:rsidRDefault="0071081D" w:rsidP="0071081D">
      <w:pPr>
        <w:pStyle w:val="af"/>
        <w:rPr>
          <w:rFonts w:ascii="Calibri" w:hAnsi="Calibri"/>
          <w:noProof w:val="0"/>
          <w:sz w:val="12"/>
          <w:szCs w:val="12"/>
        </w:rPr>
      </w:pPr>
    </w:p>
    <w:p w:rsidR="0071081D" w:rsidRDefault="0071081D" w:rsidP="0071081D">
      <w:pPr>
        <w:numPr>
          <w:ilvl w:val="0"/>
          <w:numId w:val="1"/>
        </w:numPr>
        <w:spacing w:after="120" w:line="360" w:lineRule="auto"/>
        <w:ind w:hanging="720"/>
        <w:contextualSpacing/>
        <w:jc w:val="both"/>
        <w:rPr>
          <w:rFonts w:ascii="Calibri" w:hAnsi="Calibri"/>
          <w:noProof w:val="0"/>
          <w:rtl/>
        </w:rPr>
      </w:pPr>
      <w:r>
        <w:rPr>
          <w:rFonts w:ascii="Calibri" w:hAnsi="Calibri"/>
          <w:noProof w:val="0"/>
          <w:rtl/>
        </w:rPr>
        <w:t xml:space="preserve">בעניינם של הצדדים התקיימו שני דיוני הוכחות במהלכם נחקרו כל בעלי הדין. </w:t>
      </w:r>
    </w:p>
    <w:p w:rsidR="0071081D" w:rsidRDefault="0071081D" w:rsidP="0071081D">
      <w:pPr>
        <w:spacing w:after="120" w:line="360" w:lineRule="auto"/>
        <w:ind w:left="720"/>
        <w:contextualSpacing/>
        <w:jc w:val="both"/>
        <w:rPr>
          <w:rFonts w:ascii="Calibri" w:hAnsi="Calibri"/>
          <w:noProof w:val="0"/>
          <w:sz w:val="12"/>
          <w:szCs w:val="12"/>
        </w:rPr>
      </w:pPr>
    </w:p>
    <w:p w:rsidR="0071081D" w:rsidRDefault="0071081D" w:rsidP="0071081D">
      <w:pPr>
        <w:numPr>
          <w:ilvl w:val="0"/>
          <w:numId w:val="1"/>
        </w:numPr>
        <w:spacing w:after="120" w:line="360" w:lineRule="auto"/>
        <w:ind w:hanging="720"/>
        <w:contextualSpacing/>
        <w:jc w:val="both"/>
        <w:rPr>
          <w:rFonts w:ascii="Calibri" w:hAnsi="Calibri"/>
          <w:noProof w:val="0"/>
        </w:rPr>
      </w:pPr>
      <w:r>
        <w:rPr>
          <w:rFonts w:ascii="Calibri" w:hAnsi="Calibri"/>
          <w:noProof w:val="0"/>
          <w:rtl/>
        </w:rPr>
        <w:t xml:space="preserve">לאחר הגשת סיכומי הצדדים, ניתן פסק הדין. </w:t>
      </w:r>
    </w:p>
    <w:p w:rsidR="0071081D" w:rsidRDefault="0071081D" w:rsidP="0071081D">
      <w:pPr>
        <w:pStyle w:val="af"/>
        <w:rPr>
          <w:rFonts w:ascii="Calibri" w:hAnsi="Calibri"/>
          <w:noProof w:val="0"/>
        </w:rPr>
      </w:pPr>
    </w:p>
    <w:p w:rsidR="0071081D" w:rsidRDefault="0071081D" w:rsidP="0071081D">
      <w:pPr>
        <w:spacing w:after="120" w:line="360" w:lineRule="auto"/>
        <w:contextualSpacing/>
        <w:jc w:val="both"/>
        <w:rPr>
          <w:rFonts w:ascii="Calibri" w:hAnsi="Calibri"/>
          <w:noProof w:val="0"/>
          <w:rtl/>
        </w:rPr>
      </w:pPr>
      <w:r>
        <w:rPr>
          <w:rFonts w:ascii="Calibri" w:hAnsi="Calibri"/>
          <w:b/>
          <w:bCs/>
          <w:noProof w:val="0"/>
          <w:u w:val="single"/>
          <w:rtl/>
        </w:rPr>
        <w:t>טענות הצדדים</w:t>
      </w:r>
      <w:r>
        <w:rPr>
          <w:rFonts w:ascii="Calibri" w:hAnsi="Calibri"/>
          <w:noProof w:val="0"/>
          <w:rtl/>
        </w:rPr>
        <w:t xml:space="preserve">: </w:t>
      </w:r>
    </w:p>
    <w:p w:rsidR="0071081D" w:rsidRDefault="0071081D" w:rsidP="0071081D">
      <w:pPr>
        <w:pStyle w:val="af"/>
        <w:rPr>
          <w:rFonts w:ascii="Calibri" w:hAnsi="Calibri"/>
          <w:b/>
          <w:bCs/>
          <w:noProof w:val="0"/>
          <w:sz w:val="12"/>
          <w:szCs w:val="12"/>
          <w:u w:val="single"/>
        </w:rPr>
      </w:pPr>
    </w:p>
    <w:p w:rsidR="0071081D" w:rsidRDefault="0071081D" w:rsidP="002B2F70">
      <w:pPr>
        <w:numPr>
          <w:ilvl w:val="0"/>
          <w:numId w:val="1"/>
        </w:numPr>
        <w:spacing w:after="120" w:line="360" w:lineRule="auto"/>
        <w:ind w:hanging="720"/>
        <w:contextualSpacing/>
        <w:jc w:val="both"/>
        <w:rPr>
          <w:rFonts w:ascii="Calibri" w:hAnsi="Calibri"/>
          <w:noProof w:val="0"/>
          <w:rtl/>
        </w:rPr>
      </w:pPr>
      <w:r>
        <w:rPr>
          <w:rFonts w:ascii="Calibri" w:hAnsi="Calibri"/>
          <w:noProof w:val="0"/>
          <w:rtl/>
        </w:rPr>
        <w:t xml:space="preserve">לטענת התובעים, יש להורות </w:t>
      </w:r>
      <w:r w:rsidR="002B2F70">
        <w:rPr>
          <w:rFonts w:ascii="Calibri" w:hAnsi="Calibri" w:hint="cs"/>
          <w:noProof w:val="0"/>
          <w:rtl/>
        </w:rPr>
        <w:t xml:space="preserve">לנתבעים להעביר את </w:t>
      </w:r>
      <w:r>
        <w:rPr>
          <w:rFonts w:ascii="Calibri" w:hAnsi="Calibri"/>
          <w:noProof w:val="0"/>
          <w:rtl/>
        </w:rPr>
        <w:t xml:space="preserve">הכספים לידי התובעים ממכלול הנימוקים שלהלן; </w:t>
      </w:r>
    </w:p>
    <w:p w:rsidR="0071081D" w:rsidRDefault="0071081D" w:rsidP="0071081D">
      <w:pPr>
        <w:spacing w:after="120" w:line="360" w:lineRule="auto"/>
        <w:ind w:left="720"/>
        <w:contextualSpacing/>
        <w:jc w:val="both"/>
        <w:rPr>
          <w:rFonts w:ascii="Calibri" w:hAnsi="Calibri"/>
          <w:noProof w:val="0"/>
          <w:sz w:val="12"/>
          <w:szCs w:val="12"/>
        </w:rPr>
      </w:pPr>
    </w:p>
    <w:p w:rsidR="0071081D" w:rsidRDefault="0071081D" w:rsidP="0071081D">
      <w:pPr>
        <w:numPr>
          <w:ilvl w:val="0"/>
          <w:numId w:val="2"/>
        </w:numPr>
        <w:spacing w:after="120" w:line="360" w:lineRule="auto"/>
        <w:contextualSpacing/>
        <w:jc w:val="both"/>
        <w:rPr>
          <w:rFonts w:ascii="Calibri" w:hAnsi="Calibri"/>
          <w:noProof w:val="0"/>
        </w:rPr>
      </w:pPr>
      <w:r>
        <w:rPr>
          <w:rFonts w:ascii="Calibri" w:hAnsi="Calibri"/>
          <w:noProof w:val="0"/>
          <w:rtl/>
        </w:rPr>
        <w:t xml:space="preserve">הנתבע נתבקש ע"י התובעים לשמור את הכספים בנאמנות וחזקה היא שהכספים לא הועברו אליו במתנה או בתמורה כל שהיא. </w:t>
      </w:r>
    </w:p>
    <w:p w:rsidR="0071081D" w:rsidRDefault="0071081D" w:rsidP="0071081D">
      <w:pPr>
        <w:spacing w:after="120" w:line="360" w:lineRule="auto"/>
        <w:ind w:left="1080"/>
        <w:contextualSpacing/>
        <w:jc w:val="both"/>
        <w:rPr>
          <w:rFonts w:ascii="Calibri" w:hAnsi="Calibri"/>
          <w:noProof w:val="0"/>
          <w:sz w:val="12"/>
          <w:szCs w:val="12"/>
        </w:rPr>
      </w:pPr>
    </w:p>
    <w:p w:rsidR="0071081D" w:rsidRDefault="0071081D" w:rsidP="0071081D">
      <w:pPr>
        <w:numPr>
          <w:ilvl w:val="0"/>
          <w:numId w:val="2"/>
        </w:numPr>
        <w:spacing w:after="120" w:line="360" w:lineRule="auto"/>
        <w:contextualSpacing/>
        <w:jc w:val="both"/>
        <w:rPr>
          <w:rFonts w:ascii="Calibri" w:hAnsi="Calibri"/>
          <w:noProof w:val="0"/>
        </w:rPr>
      </w:pPr>
      <w:r>
        <w:rPr>
          <w:rFonts w:ascii="Calibri" w:hAnsi="Calibri"/>
          <w:noProof w:val="0"/>
          <w:rtl/>
        </w:rPr>
        <w:t xml:space="preserve">ניתן להתחקות אחר הכספים של התובעים והדבר הוכח הן באמצעות מסמכים שצורפו ע"י התובעים והן בשים לב לעדויותיהם שנמצאו מהימנות. </w:t>
      </w:r>
    </w:p>
    <w:p w:rsidR="0071081D" w:rsidRDefault="0071081D" w:rsidP="0071081D">
      <w:pPr>
        <w:spacing w:after="120" w:line="360" w:lineRule="auto"/>
        <w:ind w:left="1080"/>
        <w:contextualSpacing/>
        <w:jc w:val="both"/>
        <w:rPr>
          <w:rFonts w:ascii="Calibri" w:hAnsi="Calibri"/>
          <w:noProof w:val="0"/>
          <w:sz w:val="12"/>
          <w:szCs w:val="12"/>
        </w:rPr>
      </w:pPr>
    </w:p>
    <w:p w:rsidR="0071081D" w:rsidRDefault="0071081D" w:rsidP="0071081D">
      <w:pPr>
        <w:numPr>
          <w:ilvl w:val="0"/>
          <w:numId w:val="2"/>
        </w:numPr>
        <w:spacing w:after="120" w:line="360" w:lineRule="auto"/>
        <w:contextualSpacing/>
        <w:jc w:val="both"/>
        <w:rPr>
          <w:rFonts w:ascii="Calibri" w:hAnsi="Calibri"/>
          <w:noProof w:val="0"/>
        </w:rPr>
      </w:pPr>
      <w:r>
        <w:rPr>
          <w:rFonts w:ascii="Calibri" w:hAnsi="Calibri"/>
          <w:noProof w:val="0"/>
          <w:rtl/>
        </w:rPr>
        <w:t xml:space="preserve">על התובעת להוכיח כי היתה כוונה של הנתבע לשתף אותה בכספים אולם הוכח כי הנתבע מעולם לא התכוון לעשות כן כאשר הנתבע הקפיד במהלך השנים לשמור את הכספים בחשבון פרטי משלו אשר בו </w:t>
      </w:r>
      <w:r>
        <w:rPr>
          <w:rFonts w:ascii="Calibri" w:hAnsi="Calibri" w:hint="cs"/>
          <w:noProof w:val="0"/>
          <w:rtl/>
        </w:rPr>
        <w:t xml:space="preserve">מצויים </w:t>
      </w:r>
      <w:r>
        <w:rPr>
          <w:rFonts w:ascii="Calibri" w:hAnsi="Calibri"/>
          <w:noProof w:val="0"/>
          <w:rtl/>
        </w:rPr>
        <w:t xml:space="preserve">אך ורק כספם של התובעים וכי במהלך שנת 2018 העביר את הכספים לחשבון משותף של בני הזוג. </w:t>
      </w:r>
    </w:p>
    <w:p w:rsidR="0071081D" w:rsidRDefault="0071081D" w:rsidP="0071081D">
      <w:pPr>
        <w:spacing w:after="120" w:line="360" w:lineRule="auto"/>
        <w:ind w:left="1080"/>
        <w:contextualSpacing/>
        <w:jc w:val="both"/>
        <w:rPr>
          <w:rFonts w:ascii="Calibri" w:hAnsi="Calibri"/>
          <w:noProof w:val="0"/>
          <w:sz w:val="12"/>
          <w:szCs w:val="12"/>
        </w:rPr>
      </w:pPr>
    </w:p>
    <w:p w:rsidR="0071081D" w:rsidRDefault="0071081D" w:rsidP="0071081D">
      <w:pPr>
        <w:numPr>
          <w:ilvl w:val="0"/>
          <w:numId w:val="2"/>
        </w:numPr>
        <w:spacing w:after="120" w:line="360" w:lineRule="auto"/>
        <w:contextualSpacing/>
        <w:jc w:val="both"/>
        <w:rPr>
          <w:rFonts w:ascii="Calibri" w:hAnsi="Calibri"/>
          <w:noProof w:val="0"/>
        </w:rPr>
      </w:pPr>
      <w:r>
        <w:rPr>
          <w:rFonts w:ascii="Calibri" w:hAnsi="Calibri"/>
          <w:noProof w:val="0"/>
          <w:rtl/>
        </w:rPr>
        <w:t xml:space="preserve">הנתבעת העידה שידעה מבעוד מועד אודות כוונת התובעים להעביר לנתבע את כספם, כל אחד מסיבותיו, התובע בשל כניסתו לכלא והתובעת בשל הסכסוך עם בעלה, כך שהיא מודעת לכך שהכספים הללו שייכים לתובעים כאשר לשיטתה כספים אלו הועברו כדי להחביאם. </w:t>
      </w:r>
    </w:p>
    <w:p w:rsidR="0071081D" w:rsidRDefault="0071081D" w:rsidP="0071081D">
      <w:pPr>
        <w:spacing w:after="120" w:line="360" w:lineRule="auto"/>
        <w:ind w:left="1080"/>
        <w:contextualSpacing/>
        <w:jc w:val="both"/>
        <w:rPr>
          <w:rFonts w:ascii="Calibri" w:hAnsi="Calibri"/>
          <w:noProof w:val="0"/>
          <w:sz w:val="12"/>
          <w:szCs w:val="12"/>
        </w:rPr>
      </w:pPr>
    </w:p>
    <w:p w:rsidR="0071081D" w:rsidRDefault="0071081D" w:rsidP="0071081D">
      <w:pPr>
        <w:numPr>
          <w:ilvl w:val="0"/>
          <w:numId w:val="2"/>
        </w:numPr>
        <w:spacing w:after="120" w:line="360" w:lineRule="auto"/>
        <w:contextualSpacing/>
        <w:jc w:val="both"/>
        <w:rPr>
          <w:rFonts w:ascii="Calibri" w:hAnsi="Calibri"/>
          <w:noProof w:val="0"/>
        </w:rPr>
      </w:pPr>
      <w:r>
        <w:rPr>
          <w:rFonts w:ascii="Calibri" w:hAnsi="Calibri"/>
          <w:noProof w:val="0"/>
          <w:rtl/>
        </w:rPr>
        <w:t xml:space="preserve">על מנת לקבוע כי הכספים שייכים לנתבעת, יש לבדוק האם הכספים התערבבו עם כספם של בני הזוג ובעניין זה העידה הנתבעת כי מאז חודש מאי 2016 היא אינה מתנהלת בחשבון המשותף, אינה מפקידה כספים כלשהם לחשבון המשותף והיא אינה עושה שימוש כלשהו בחשבון המשותף, כך שלא מתבצעות כל פעולות כאלו ואחרות בחשבון המשותף שיש בהן כדי לערבב את כספי בני הזוג עם כספי התובעים. </w:t>
      </w:r>
    </w:p>
    <w:p w:rsidR="0071081D" w:rsidRDefault="0071081D" w:rsidP="0071081D">
      <w:pPr>
        <w:spacing w:after="120" w:line="360" w:lineRule="auto"/>
        <w:ind w:left="1080"/>
        <w:contextualSpacing/>
        <w:jc w:val="both"/>
        <w:rPr>
          <w:rFonts w:ascii="Calibri" w:hAnsi="Calibri"/>
          <w:noProof w:val="0"/>
          <w:sz w:val="12"/>
          <w:szCs w:val="12"/>
        </w:rPr>
      </w:pPr>
    </w:p>
    <w:p w:rsidR="0071081D" w:rsidRDefault="0071081D" w:rsidP="0071081D">
      <w:pPr>
        <w:numPr>
          <w:ilvl w:val="0"/>
          <w:numId w:val="2"/>
        </w:numPr>
        <w:spacing w:after="120" w:line="360" w:lineRule="auto"/>
        <w:contextualSpacing/>
        <w:jc w:val="both"/>
        <w:rPr>
          <w:rFonts w:ascii="Calibri" w:hAnsi="Calibri"/>
          <w:noProof w:val="0"/>
        </w:rPr>
      </w:pPr>
      <w:r>
        <w:rPr>
          <w:rFonts w:ascii="Calibri" w:hAnsi="Calibri"/>
          <w:noProof w:val="0"/>
          <w:rtl/>
        </w:rPr>
        <w:t>לא זו אף זו, הנתבעת פתחה לעצמה חשבון פרטי באמצעותו התנהלה במשך השנים בעוד שכספי התובעים הועברו ע"י הנתבע לחשבון המשותף בתחילה שנת 2018, קרי כשנתיים לאחר יציאת הנתבעת מהחשבון המשותף. יש בכך כדי להעיד כי לא היתה לנתבע כוונה לשתף את הנתבעת בכספם של התובעים וכי למעשה כספם של התובעים לא התערבבו עם כספי בני הזוג.</w:t>
      </w:r>
    </w:p>
    <w:p w:rsidR="0071081D" w:rsidRDefault="0071081D" w:rsidP="0071081D">
      <w:pPr>
        <w:pStyle w:val="af"/>
        <w:rPr>
          <w:rFonts w:ascii="Calibri" w:hAnsi="Calibri"/>
          <w:noProof w:val="0"/>
          <w:sz w:val="12"/>
          <w:szCs w:val="12"/>
        </w:rPr>
      </w:pPr>
    </w:p>
    <w:p w:rsidR="0071081D" w:rsidRDefault="0071081D" w:rsidP="0071081D">
      <w:pPr>
        <w:numPr>
          <w:ilvl w:val="0"/>
          <w:numId w:val="2"/>
        </w:numPr>
        <w:spacing w:after="120" w:line="360" w:lineRule="auto"/>
        <w:contextualSpacing/>
        <w:jc w:val="both"/>
        <w:rPr>
          <w:rFonts w:ascii="Calibri" w:hAnsi="Calibri"/>
          <w:noProof w:val="0"/>
          <w:rtl/>
        </w:rPr>
      </w:pPr>
      <w:r>
        <w:rPr>
          <w:rFonts w:ascii="Calibri" w:hAnsi="Calibri"/>
          <w:noProof w:val="0"/>
          <w:rtl/>
        </w:rPr>
        <w:t xml:space="preserve">אשר על כן, בנסיבות שבהן הנתבעת ידעה בזמן אמת על העברת הכספים, ידעה כי מדובר בכספי התובעים שלטענה הועברו כדי להחביאם, בשים לב לכך שכספים אלו מעולם לא התערבבו עם כספי הנתבעת ו/או כספי מי מהנתבעים, אזי יש לקבוע כי הנתבעת היתה מודעת לכך שאין לה זכויות בכספם של התובעים ועל כן, יש להורות לנתבעים להחזיר לתובעים את כספם. </w:t>
      </w:r>
    </w:p>
    <w:p w:rsidR="0071081D" w:rsidRDefault="0071081D" w:rsidP="0071081D">
      <w:pPr>
        <w:spacing w:after="120" w:line="360" w:lineRule="auto"/>
        <w:ind w:left="720"/>
        <w:contextualSpacing/>
        <w:jc w:val="both"/>
        <w:rPr>
          <w:rFonts w:ascii="Calibri" w:hAnsi="Calibri"/>
          <w:noProof w:val="0"/>
          <w:sz w:val="12"/>
          <w:szCs w:val="12"/>
        </w:rPr>
      </w:pPr>
    </w:p>
    <w:p w:rsidR="0071081D" w:rsidRDefault="0071081D" w:rsidP="0071081D">
      <w:pPr>
        <w:numPr>
          <w:ilvl w:val="0"/>
          <w:numId w:val="1"/>
        </w:numPr>
        <w:spacing w:after="120" w:line="360" w:lineRule="auto"/>
        <w:ind w:hanging="720"/>
        <w:contextualSpacing/>
        <w:jc w:val="both"/>
        <w:rPr>
          <w:rFonts w:ascii="Calibri" w:hAnsi="Calibri"/>
          <w:noProof w:val="0"/>
        </w:rPr>
      </w:pPr>
      <w:r>
        <w:rPr>
          <w:rFonts w:ascii="Calibri" w:hAnsi="Calibri"/>
          <w:noProof w:val="0"/>
          <w:rtl/>
        </w:rPr>
        <w:t>יצוין, כי הנתבע תומך ומחזק את טענות התובעים וטוען כי מדובר בכספים ששייכים לתובעים בלבד, ואלו נימוקיו;</w:t>
      </w:r>
    </w:p>
    <w:p w:rsidR="0071081D" w:rsidRDefault="0071081D" w:rsidP="0071081D">
      <w:pPr>
        <w:spacing w:after="120" w:line="360" w:lineRule="auto"/>
        <w:ind w:left="720"/>
        <w:contextualSpacing/>
        <w:jc w:val="both"/>
        <w:rPr>
          <w:rFonts w:ascii="Calibri" w:hAnsi="Calibri"/>
          <w:noProof w:val="0"/>
          <w:sz w:val="12"/>
          <w:szCs w:val="12"/>
        </w:rPr>
      </w:pPr>
    </w:p>
    <w:p w:rsidR="0071081D" w:rsidRDefault="0071081D" w:rsidP="0071081D">
      <w:pPr>
        <w:numPr>
          <w:ilvl w:val="0"/>
          <w:numId w:val="3"/>
        </w:numPr>
        <w:spacing w:after="120" w:line="360" w:lineRule="auto"/>
        <w:contextualSpacing/>
        <w:jc w:val="both"/>
        <w:rPr>
          <w:rFonts w:ascii="Calibri" w:hAnsi="Calibri"/>
          <w:noProof w:val="0"/>
        </w:rPr>
      </w:pPr>
      <w:r>
        <w:rPr>
          <w:rFonts w:ascii="Calibri" w:hAnsi="Calibri"/>
          <w:noProof w:val="0"/>
          <w:rtl/>
        </w:rPr>
        <w:t xml:space="preserve">הנתבעת יודעת היטב כי כספים אלו שייכים לתובעים ולהם בלבד. התכחשותה של הנתבעת הינה בלתי מוסרית ותכליתה עשיית עושר ולא במשפט. </w:t>
      </w:r>
    </w:p>
    <w:p w:rsidR="0071081D" w:rsidRDefault="0071081D" w:rsidP="0071081D">
      <w:pPr>
        <w:spacing w:after="120" w:line="360" w:lineRule="auto"/>
        <w:ind w:left="1080"/>
        <w:contextualSpacing/>
        <w:jc w:val="both"/>
        <w:rPr>
          <w:rFonts w:ascii="Calibri" w:hAnsi="Calibri"/>
          <w:noProof w:val="0"/>
          <w:sz w:val="12"/>
          <w:szCs w:val="12"/>
        </w:rPr>
      </w:pPr>
    </w:p>
    <w:p w:rsidR="0071081D" w:rsidRDefault="0071081D" w:rsidP="0071081D">
      <w:pPr>
        <w:numPr>
          <w:ilvl w:val="0"/>
          <w:numId w:val="3"/>
        </w:numPr>
        <w:spacing w:after="120" w:line="360" w:lineRule="auto"/>
        <w:contextualSpacing/>
        <w:jc w:val="both"/>
        <w:rPr>
          <w:rFonts w:ascii="Calibri" w:hAnsi="Calibri"/>
          <w:noProof w:val="0"/>
        </w:rPr>
      </w:pPr>
      <w:r>
        <w:rPr>
          <w:rFonts w:ascii="Calibri" w:hAnsi="Calibri"/>
          <w:noProof w:val="0"/>
          <w:rtl/>
        </w:rPr>
        <w:t xml:space="preserve">לאחר שהנתבעת הכניסה את החשבון המשותף למינוסים חוזרים ונשנים, הוחלט בין הצדדים על הפרדה כלכלית ביניהם באופן שבו הנתבעת תפתח חשבון בנק על שמה בו תנהל את כספיה כאשר החשבון המשותף יוותר לנתבע וינוהל על ידו, וכך נעשה. ביום 5/2016 פתחה הנתבעת חשבון על שמה ולשם הפקידה את משכורותיה, קרן השתלמותה וקופ"ג ומשם נטלה הלוואה לשימושיה האישיים. בנסיבות אלו, הכספים שעברו לחשבון "המשותף" שימשו את הנתבע בלבד ועל כן שייכים לתובעים במלואם ועל בני הזוג להשיבם. </w:t>
      </w:r>
    </w:p>
    <w:p w:rsidR="0071081D" w:rsidRDefault="0071081D" w:rsidP="0071081D">
      <w:pPr>
        <w:pStyle w:val="af"/>
        <w:rPr>
          <w:rFonts w:ascii="Calibri" w:hAnsi="Calibri"/>
          <w:noProof w:val="0"/>
          <w:sz w:val="12"/>
          <w:szCs w:val="12"/>
        </w:rPr>
      </w:pPr>
    </w:p>
    <w:p w:rsidR="0071081D" w:rsidRDefault="0071081D" w:rsidP="0071081D">
      <w:pPr>
        <w:numPr>
          <w:ilvl w:val="0"/>
          <w:numId w:val="3"/>
        </w:numPr>
        <w:spacing w:after="120" w:line="360" w:lineRule="auto"/>
        <w:contextualSpacing/>
        <w:jc w:val="both"/>
        <w:rPr>
          <w:rFonts w:ascii="Calibri" w:hAnsi="Calibri"/>
          <w:noProof w:val="0"/>
          <w:rtl/>
        </w:rPr>
      </w:pPr>
      <w:r>
        <w:rPr>
          <w:rFonts w:ascii="Calibri" w:hAnsi="Calibri"/>
          <w:noProof w:val="0"/>
          <w:rtl/>
        </w:rPr>
        <w:t xml:space="preserve">כספי התובעים נשמרו ככספים נבדלים מכספיהם המשותפים של הצדדים. משכך, היתה הפרדה ברורה של כספי התובעים אשר נשמרו בחשבון המשותף אשר אף הוא היה נפרד לנתבע בלבד כאשר הנתבע ניהל את החשבון הזה בלבד. </w:t>
      </w:r>
    </w:p>
    <w:p w:rsidR="0071081D" w:rsidRDefault="0071081D" w:rsidP="0071081D">
      <w:pPr>
        <w:spacing w:after="120" w:line="360" w:lineRule="auto"/>
        <w:ind w:left="1080"/>
        <w:contextualSpacing/>
        <w:jc w:val="both"/>
        <w:rPr>
          <w:rFonts w:ascii="Calibri" w:hAnsi="Calibri"/>
          <w:noProof w:val="0"/>
          <w:sz w:val="12"/>
          <w:szCs w:val="12"/>
        </w:rPr>
      </w:pPr>
    </w:p>
    <w:p w:rsidR="0071081D" w:rsidRDefault="0071081D" w:rsidP="0071081D">
      <w:pPr>
        <w:numPr>
          <w:ilvl w:val="0"/>
          <w:numId w:val="3"/>
        </w:numPr>
        <w:spacing w:after="120" w:line="360" w:lineRule="auto"/>
        <w:contextualSpacing/>
        <w:jc w:val="both"/>
        <w:rPr>
          <w:rFonts w:ascii="Calibri" w:hAnsi="Calibri"/>
          <w:noProof w:val="0"/>
        </w:rPr>
      </w:pPr>
      <w:r>
        <w:rPr>
          <w:rFonts w:ascii="Calibri" w:hAnsi="Calibri"/>
          <w:noProof w:val="0"/>
          <w:rtl/>
        </w:rPr>
        <w:t xml:space="preserve">לא זו אף זו, עקב התנהלות הנתבעת נכנסו הצדדים ליתרת חובה מידי חודש בחודשו ועל כן פנו לקבלת הלוואות בסך 60,000 ₪ ובסך 75,000 ₪ הן לצורך מימון בר המצווה של בנם הצעיר והן </w:t>
      </w:r>
      <w:r>
        <w:rPr>
          <w:rFonts w:ascii="Calibri" w:hAnsi="Calibri"/>
          <w:noProof w:val="0"/>
          <w:rtl/>
        </w:rPr>
        <w:lastRenderedPageBreak/>
        <w:t xml:space="preserve">עבור המחייה המשותפת. ביהמ"ש הורה לצדדים לשאת בהלוואות אלו בחלקים שווים. משמע, על בני הזוג להשלים מכיסם סך של 50,000 ₪ ולהעבירם לידי התובעים בחלקים שווים ביניהם. </w:t>
      </w:r>
    </w:p>
    <w:p w:rsidR="0071081D" w:rsidRDefault="0071081D" w:rsidP="0071081D">
      <w:pPr>
        <w:pStyle w:val="af"/>
        <w:rPr>
          <w:rFonts w:ascii="Calibri" w:hAnsi="Calibri"/>
          <w:noProof w:val="0"/>
          <w:sz w:val="12"/>
          <w:szCs w:val="12"/>
        </w:rPr>
      </w:pPr>
    </w:p>
    <w:p w:rsidR="0071081D" w:rsidRDefault="0071081D" w:rsidP="0071081D">
      <w:pPr>
        <w:numPr>
          <w:ilvl w:val="0"/>
          <w:numId w:val="1"/>
        </w:numPr>
        <w:spacing w:after="120" w:line="360" w:lineRule="auto"/>
        <w:ind w:hanging="720"/>
        <w:contextualSpacing/>
        <w:jc w:val="both"/>
        <w:rPr>
          <w:rFonts w:ascii="Calibri" w:hAnsi="Calibri"/>
          <w:noProof w:val="0"/>
          <w:rtl/>
        </w:rPr>
      </w:pPr>
      <w:r>
        <w:rPr>
          <w:rFonts w:ascii="Calibri" w:hAnsi="Calibri"/>
          <w:noProof w:val="0"/>
          <w:rtl/>
        </w:rPr>
        <w:t>מנגד, טוענת הנתבעת כי יש לדחות את התביעה מכל וכל וכי מדובר בכספים משותפים שלה ושל הנתבע, ואלו טעמיה;</w:t>
      </w:r>
    </w:p>
    <w:p w:rsidR="0071081D" w:rsidRDefault="0071081D" w:rsidP="0071081D">
      <w:pPr>
        <w:spacing w:after="120" w:line="360" w:lineRule="auto"/>
        <w:ind w:left="720"/>
        <w:contextualSpacing/>
        <w:jc w:val="both"/>
        <w:rPr>
          <w:rFonts w:ascii="Calibri" w:hAnsi="Calibri"/>
          <w:noProof w:val="0"/>
          <w:sz w:val="12"/>
          <w:szCs w:val="12"/>
        </w:rPr>
      </w:pPr>
    </w:p>
    <w:p w:rsidR="0071081D" w:rsidRDefault="0071081D" w:rsidP="0071081D">
      <w:pPr>
        <w:numPr>
          <w:ilvl w:val="0"/>
          <w:numId w:val="4"/>
        </w:numPr>
        <w:spacing w:after="120" w:line="360" w:lineRule="auto"/>
        <w:contextualSpacing/>
        <w:jc w:val="both"/>
        <w:rPr>
          <w:rFonts w:ascii="Calibri" w:hAnsi="Calibri"/>
          <w:noProof w:val="0"/>
        </w:rPr>
      </w:pPr>
      <w:r>
        <w:rPr>
          <w:rFonts w:ascii="Calibri" w:hAnsi="Calibri"/>
          <w:noProof w:val="0"/>
          <w:rtl/>
        </w:rPr>
        <w:t>אין כל יריבות בין התובעים לבין הנתבעת ואין לתובעים כל עילה לאכיפת התחייבות של הנתבעת כלפיהם, כגון הסכם בכתב או הסכמה בעל פה ואפילו לא נטען לקיום קשר כלשהו ביניהם לבין הנתבעת. הן התובעים והן הנתבעת כלל לא ידעו כי הכספים הועברו לחשבון המשותף, כך שהנתבעת כלל לא יכלה להסכים על מה שלא ידעה.</w:t>
      </w:r>
    </w:p>
    <w:p w:rsidR="0071081D" w:rsidRDefault="0071081D" w:rsidP="0071081D">
      <w:pPr>
        <w:spacing w:after="120" w:line="360" w:lineRule="auto"/>
        <w:ind w:left="1080"/>
        <w:contextualSpacing/>
        <w:jc w:val="both"/>
        <w:rPr>
          <w:rFonts w:ascii="Calibri" w:hAnsi="Calibri"/>
          <w:noProof w:val="0"/>
          <w:sz w:val="12"/>
          <w:szCs w:val="12"/>
        </w:rPr>
      </w:pPr>
    </w:p>
    <w:p w:rsidR="0071081D" w:rsidRDefault="0071081D" w:rsidP="0071081D">
      <w:pPr>
        <w:numPr>
          <w:ilvl w:val="0"/>
          <w:numId w:val="4"/>
        </w:numPr>
        <w:spacing w:after="120" w:line="360" w:lineRule="auto"/>
        <w:contextualSpacing/>
        <w:jc w:val="both"/>
        <w:rPr>
          <w:rFonts w:ascii="Calibri" w:hAnsi="Calibri"/>
          <w:noProof w:val="0"/>
        </w:rPr>
      </w:pPr>
      <w:r>
        <w:rPr>
          <w:rFonts w:ascii="Calibri" w:hAnsi="Calibri"/>
          <w:noProof w:val="0"/>
          <w:rtl/>
        </w:rPr>
        <w:t>קיימת זהות אינטרסים בין התובעים לבין הנתבע כאשר התובעים לא יהססו לומר דברי שקר ופועלים בשליחותו. בנוסף, הנתבע ביצע עבור התובעים פעולות חילוץ והברחה של כספים מצדדי ג' (התובע מנפגעות עבירות הפדופיליה שביצע על ידו, ואילו התובעת מבעלה עמו היתה בסכסוך).</w:t>
      </w:r>
    </w:p>
    <w:p w:rsidR="0071081D" w:rsidRDefault="0071081D" w:rsidP="0071081D">
      <w:pPr>
        <w:pStyle w:val="af"/>
        <w:rPr>
          <w:rFonts w:ascii="Calibri" w:hAnsi="Calibri"/>
          <w:noProof w:val="0"/>
          <w:sz w:val="12"/>
          <w:szCs w:val="12"/>
        </w:rPr>
      </w:pPr>
    </w:p>
    <w:p w:rsidR="0071081D" w:rsidRDefault="0071081D" w:rsidP="006A26C3">
      <w:pPr>
        <w:numPr>
          <w:ilvl w:val="0"/>
          <w:numId w:val="4"/>
        </w:numPr>
        <w:spacing w:after="120" w:line="360" w:lineRule="auto"/>
        <w:contextualSpacing/>
        <w:jc w:val="both"/>
        <w:rPr>
          <w:rFonts w:ascii="Calibri" w:hAnsi="Calibri"/>
          <w:noProof w:val="0"/>
          <w:rtl/>
        </w:rPr>
      </w:pPr>
      <w:r>
        <w:rPr>
          <w:rFonts w:ascii="Calibri" w:hAnsi="Calibri"/>
          <w:noProof w:val="0"/>
          <w:rtl/>
        </w:rPr>
        <w:t>התובעים לא הוכיחו כי הכספים אינם של הנתבע. לא די בכך שהתובעים לא המציאו תיעוד בנוגע לכספים אלו אלא הסתירו תיעוד ובכלל כך: מועד שחרורו של הנתבע, מסמכים אודות הכרעת הדין וגזר הדין, תיעוד מלא של מכלול הכספים שהיו לתובע במועד המעצר, היקף ההתחייבויות והתשלומים של הנתבע כלפי צדדי ג' לרבות עו"ד, תיעוד לגבי הלוואות שניתנו ע"י אחיו של התובע – הנתבע ואחיהם מ</w:t>
      </w:r>
      <w:r w:rsidR="006A26C3">
        <w:rPr>
          <w:rFonts w:ascii="Calibri" w:hAnsi="Calibri" w:hint="cs"/>
          <w:noProof w:val="0"/>
          <w:rtl/>
        </w:rPr>
        <w:t>'</w:t>
      </w:r>
      <w:r>
        <w:rPr>
          <w:rFonts w:ascii="Calibri" w:hAnsi="Calibri"/>
          <w:noProof w:val="0"/>
          <w:rtl/>
        </w:rPr>
        <w:t xml:space="preserve">, תיעוד של הכנסות והוצאות כספים עבור התובעים, וכו'. </w:t>
      </w:r>
    </w:p>
    <w:p w:rsidR="0071081D" w:rsidRDefault="0071081D" w:rsidP="0071081D">
      <w:pPr>
        <w:pStyle w:val="af"/>
        <w:rPr>
          <w:rFonts w:ascii="Calibri" w:hAnsi="Calibri"/>
          <w:noProof w:val="0"/>
          <w:sz w:val="12"/>
          <w:szCs w:val="12"/>
        </w:rPr>
      </w:pPr>
    </w:p>
    <w:p w:rsidR="0071081D" w:rsidRDefault="0071081D" w:rsidP="0071081D">
      <w:pPr>
        <w:numPr>
          <w:ilvl w:val="0"/>
          <w:numId w:val="4"/>
        </w:numPr>
        <w:spacing w:after="120" w:line="360" w:lineRule="auto"/>
        <w:contextualSpacing/>
        <w:jc w:val="both"/>
        <w:rPr>
          <w:rFonts w:ascii="Calibri" w:hAnsi="Calibri"/>
          <w:noProof w:val="0"/>
          <w:rtl/>
        </w:rPr>
      </w:pPr>
      <w:r>
        <w:rPr>
          <w:rFonts w:ascii="Calibri" w:hAnsi="Calibri"/>
          <w:noProof w:val="0"/>
          <w:rtl/>
        </w:rPr>
        <w:t xml:space="preserve">הנתבע נהג בחשבון בבינלאומי ודיסקונט אליו הועברו כספי התובעים כבשלו והפקיד לשם כספי מזומן שלו ושיקים בסכומים קטנים שהשתכר מעבודתו. </w:t>
      </w:r>
    </w:p>
    <w:p w:rsidR="0071081D" w:rsidRDefault="0071081D" w:rsidP="0071081D">
      <w:pPr>
        <w:pStyle w:val="af"/>
        <w:rPr>
          <w:rFonts w:ascii="Calibri" w:hAnsi="Calibri"/>
          <w:noProof w:val="0"/>
          <w:sz w:val="12"/>
          <w:szCs w:val="12"/>
        </w:rPr>
      </w:pPr>
    </w:p>
    <w:p w:rsidR="0071081D" w:rsidRDefault="0071081D" w:rsidP="0071081D">
      <w:pPr>
        <w:numPr>
          <w:ilvl w:val="0"/>
          <w:numId w:val="4"/>
        </w:numPr>
        <w:spacing w:after="120" w:line="360" w:lineRule="auto"/>
        <w:contextualSpacing/>
        <w:jc w:val="both"/>
        <w:rPr>
          <w:rFonts w:ascii="Calibri" w:hAnsi="Calibri"/>
          <w:noProof w:val="0"/>
          <w:rtl/>
        </w:rPr>
      </w:pPr>
      <w:r>
        <w:rPr>
          <w:rFonts w:ascii="Calibri" w:hAnsi="Calibri"/>
          <w:noProof w:val="0"/>
          <w:rtl/>
        </w:rPr>
        <w:t xml:space="preserve">אין לקבל את טענת התובעים לפיה הבעלות בכספים בחשבון הבנק המשותף שייכים לנתבע בלבד. מדובר בהרחבת חזית אסורה. מעבר לכך, אפילו התנהלו הצדדים בחשבונות נפרדים, עדיין אין בכך כדי לסתור את חזקת השיתוף והכספים נכללים במסגרת איזון המשאבים ושייכים לשניהם כפי שעולה במפורש מההליכים המשפטיים שהתקיימו בין בני הזוג וההסכם שגובש ביניהם. </w:t>
      </w:r>
    </w:p>
    <w:p w:rsidR="0071081D" w:rsidRDefault="0071081D" w:rsidP="0071081D">
      <w:pPr>
        <w:pStyle w:val="af"/>
        <w:rPr>
          <w:rFonts w:ascii="Calibri" w:hAnsi="Calibri"/>
          <w:noProof w:val="0"/>
          <w:sz w:val="12"/>
          <w:szCs w:val="12"/>
        </w:rPr>
      </w:pPr>
    </w:p>
    <w:p w:rsidR="0071081D" w:rsidRDefault="0071081D" w:rsidP="0071081D">
      <w:pPr>
        <w:numPr>
          <w:ilvl w:val="0"/>
          <w:numId w:val="4"/>
        </w:numPr>
        <w:spacing w:after="120" w:line="360" w:lineRule="auto"/>
        <w:contextualSpacing/>
        <w:jc w:val="both"/>
        <w:rPr>
          <w:rFonts w:ascii="Calibri" w:hAnsi="Calibri"/>
          <w:noProof w:val="0"/>
          <w:rtl/>
        </w:rPr>
      </w:pPr>
      <w:r>
        <w:rPr>
          <w:rFonts w:ascii="Calibri" w:hAnsi="Calibri"/>
          <w:noProof w:val="0"/>
          <w:rtl/>
        </w:rPr>
        <w:t xml:space="preserve">הכספים הנטענים לא נשמרו בתכנית כלשהי או בפיקדון נפרד אלא התערבבו עם כספי חשבון הבנק המשותף של בני הזוג. גם לאחר העברת הכספים לחשבון המשותף, הנתבע לא ייחד את הכספים ונהג בכספים אלו כבשלו. מעבר לכך, הנתבע לא ניתן כל נימוק מתקבל על הדעת מדוע עורבבו כספי התובעים כביכול על כספי חשבון הבנק המשותף. </w:t>
      </w:r>
    </w:p>
    <w:p w:rsidR="0071081D" w:rsidRDefault="0071081D" w:rsidP="0071081D">
      <w:pPr>
        <w:pStyle w:val="af"/>
        <w:rPr>
          <w:rFonts w:ascii="Calibri" w:hAnsi="Calibri"/>
          <w:noProof w:val="0"/>
        </w:rPr>
      </w:pPr>
    </w:p>
    <w:p w:rsidR="0071081D" w:rsidRDefault="0071081D" w:rsidP="0071081D">
      <w:pPr>
        <w:numPr>
          <w:ilvl w:val="0"/>
          <w:numId w:val="4"/>
        </w:numPr>
        <w:spacing w:after="120" w:line="360" w:lineRule="auto"/>
        <w:contextualSpacing/>
        <w:jc w:val="both"/>
        <w:rPr>
          <w:rFonts w:ascii="Calibri" w:hAnsi="Calibri"/>
          <w:noProof w:val="0"/>
          <w:rtl/>
        </w:rPr>
      </w:pPr>
      <w:r>
        <w:rPr>
          <w:rFonts w:ascii="Calibri" w:hAnsi="Calibri"/>
          <w:noProof w:val="0"/>
          <w:rtl/>
        </w:rPr>
        <w:t xml:space="preserve">הנתבעת מעולם לא ידעה כי הנתבע הינו שלוחם או נאמן של התובעים בחשבון הבנק המשותף כאשר סעיף 3 (ג) לחוק הנאמנות מחייב את הנאמן להחזיק את הכספים בנפרד מנכסים אחרים או בדרך המאפשרת להבחין ביניהם. העובדה שהכספים לא הוחזקו בנפרד, אלא בחשבון המשותף של בני הזוג מעידה כי לא היתה כל נאמנות. </w:t>
      </w:r>
    </w:p>
    <w:p w:rsidR="0071081D" w:rsidRDefault="0071081D" w:rsidP="0071081D">
      <w:pPr>
        <w:pStyle w:val="af"/>
        <w:rPr>
          <w:rFonts w:ascii="Calibri" w:hAnsi="Calibri"/>
          <w:noProof w:val="0"/>
          <w:sz w:val="12"/>
          <w:szCs w:val="12"/>
        </w:rPr>
      </w:pPr>
    </w:p>
    <w:p w:rsidR="0071081D" w:rsidRDefault="0071081D" w:rsidP="0071081D">
      <w:pPr>
        <w:numPr>
          <w:ilvl w:val="0"/>
          <w:numId w:val="4"/>
        </w:numPr>
        <w:spacing w:after="120" w:line="360" w:lineRule="auto"/>
        <w:contextualSpacing/>
        <w:jc w:val="both"/>
        <w:rPr>
          <w:rFonts w:ascii="Calibri" w:hAnsi="Calibri"/>
          <w:noProof w:val="0"/>
          <w:rtl/>
        </w:rPr>
      </w:pPr>
      <w:r>
        <w:rPr>
          <w:rFonts w:ascii="Calibri" w:hAnsi="Calibri"/>
          <w:noProof w:val="0"/>
          <w:rtl/>
        </w:rPr>
        <w:t xml:space="preserve">הנתבע עובד כעצמאי בתחום המחשבים משנת 2010 ואילך והרוויח כספים רבים במזומן שאינם מדווחים. הנתבע התנהל לאורך השנים במזומן לביצוע תשלומים שונים כאשר נהג להפקיד את יתרת כספי המזומן שנותרו בידיו לחשבון הבנק בבינלאומי ולאחר מכן לחשבון הבנק בדיסקונט ובהמשך לחשבון המשותף. </w:t>
      </w:r>
    </w:p>
    <w:p w:rsidR="0071081D" w:rsidRDefault="0071081D" w:rsidP="0071081D">
      <w:pPr>
        <w:pStyle w:val="af"/>
        <w:rPr>
          <w:rFonts w:ascii="Calibri" w:hAnsi="Calibri"/>
          <w:noProof w:val="0"/>
          <w:sz w:val="12"/>
          <w:szCs w:val="12"/>
        </w:rPr>
      </w:pPr>
    </w:p>
    <w:p w:rsidR="0071081D" w:rsidRDefault="0071081D" w:rsidP="0071081D">
      <w:pPr>
        <w:numPr>
          <w:ilvl w:val="0"/>
          <w:numId w:val="4"/>
        </w:numPr>
        <w:spacing w:after="120" w:line="360" w:lineRule="auto"/>
        <w:contextualSpacing/>
        <w:jc w:val="both"/>
        <w:rPr>
          <w:rFonts w:ascii="Calibri" w:hAnsi="Calibri"/>
          <w:noProof w:val="0"/>
          <w:rtl/>
        </w:rPr>
      </w:pPr>
      <w:r>
        <w:rPr>
          <w:rFonts w:ascii="Calibri" w:hAnsi="Calibri"/>
          <w:noProof w:val="0"/>
          <w:rtl/>
        </w:rPr>
        <w:t xml:space="preserve">לאורך כל השנים התנהלה הנתבעת בחשבון המשותף לצורך הוצאות המשפחה. במהלך שנים אלו הקפיד הנתבע כי החשבון יהיה ביתרת מינוס בסביבות 20,000 ₪ משנת 2011 ועד 5/2016 עת אילץ הנתבע את הנתבעת שלא לעשות שימוש בחשבון ולפתוח לה חשבון אחר. באותה תקופה היו אמורים להצטבר סכומים גבוהים בחשבון המשותף בסך של 10,000 ₪ לחודש ובסך הכל 300,000 ₪ (עבור 30 חודשים) כאשר מנגד הנתבעת נאלצה לגייס כספים ממקורות שונים וכן לקחת הלוואות בסך של 153,000 ₪. משכך, אין לקבל את טענות התובעים לפיהם מדובר בכספיהם שלהם אלא מדובר בכספי בני הזוג הכוללים את הכנסותיו של הנתבע ובפרט לאחר שהנתבעת הפסיקה להשתמש בחשבון המשותף ונאלצה ליטול הלוואות לצרכי המשפחה והוצאותיה, אזי נצטברו בחשבון זה סכומים רבים. </w:t>
      </w:r>
    </w:p>
    <w:p w:rsidR="0071081D" w:rsidRDefault="0071081D" w:rsidP="0071081D">
      <w:pPr>
        <w:spacing w:after="120" w:line="360" w:lineRule="auto"/>
        <w:contextualSpacing/>
        <w:jc w:val="both"/>
        <w:rPr>
          <w:rFonts w:ascii="Calibri" w:hAnsi="Calibri"/>
          <w:noProof w:val="0"/>
          <w:sz w:val="12"/>
          <w:szCs w:val="12"/>
        </w:rPr>
      </w:pPr>
    </w:p>
    <w:p w:rsidR="0071081D" w:rsidRDefault="0071081D" w:rsidP="0071081D">
      <w:pPr>
        <w:spacing w:after="120" w:line="360" w:lineRule="auto"/>
        <w:contextualSpacing/>
        <w:jc w:val="both"/>
        <w:rPr>
          <w:rFonts w:ascii="Calibri" w:hAnsi="Calibri"/>
          <w:noProof w:val="0"/>
        </w:rPr>
      </w:pPr>
      <w:r>
        <w:rPr>
          <w:rFonts w:ascii="Calibri" w:hAnsi="Calibri"/>
          <w:b/>
          <w:bCs/>
          <w:noProof w:val="0"/>
          <w:u w:val="single"/>
          <w:rtl/>
        </w:rPr>
        <w:t>דיון והכרעה</w:t>
      </w:r>
      <w:r>
        <w:rPr>
          <w:rFonts w:ascii="Calibri" w:hAnsi="Calibri"/>
          <w:noProof w:val="0"/>
          <w:rtl/>
        </w:rPr>
        <w:t>:</w:t>
      </w:r>
    </w:p>
    <w:p w:rsidR="0071081D" w:rsidRDefault="0071081D" w:rsidP="0071081D">
      <w:pPr>
        <w:spacing w:after="120" w:line="360" w:lineRule="auto"/>
        <w:ind w:left="720" w:hanging="720"/>
        <w:contextualSpacing/>
        <w:rPr>
          <w:rFonts w:ascii="Calibri" w:hAnsi="Calibri"/>
          <w:noProof w:val="0"/>
          <w:sz w:val="12"/>
          <w:szCs w:val="12"/>
        </w:rPr>
      </w:pPr>
    </w:p>
    <w:p w:rsidR="0071081D" w:rsidRDefault="0071081D" w:rsidP="0071081D">
      <w:pPr>
        <w:numPr>
          <w:ilvl w:val="0"/>
          <w:numId w:val="1"/>
        </w:numPr>
        <w:spacing w:after="120" w:line="360" w:lineRule="auto"/>
        <w:ind w:hanging="720"/>
        <w:contextualSpacing/>
        <w:jc w:val="both"/>
        <w:rPr>
          <w:rFonts w:ascii="Calibri" w:hAnsi="Calibri"/>
          <w:noProof w:val="0"/>
          <w:rtl/>
        </w:rPr>
      </w:pPr>
      <w:r>
        <w:rPr>
          <w:rFonts w:ascii="Calibri" w:hAnsi="Calibri"/>
          <w:b/>
          <w:bCs/>
          <w:noProof w:val="0"/>
          <w:rtl/>
        </w:rPr>
        <w:t xml:space="preserve">במקרה דנן, לאחר בחינת מכלול הטענות והראיות ולאחר שמיעת עדויות הצדדים ובחינת מכלול הנתונים, נחה דעתי כי התובעים לא הרימו את הנטל להוכיח כי הכספים שהועברו ע"י הנתבע ביום 2.4.18 לחשבון הבנק המשותף הינם כספים של התובעים בלבד ומשכך התובעים זכאים לקבלם. להלן יפורטו הנימוקים ביסוד מסקנתי זו.    </w:t>
      </w:r>
    </w:p>
    <w:p w:rsidR="0071081D" w:rsidRDefault="0071081D" w:rsidP="0071081D">
      <w:pPr>
        <w:spacing w:after="120" w:line="360" w:lineRule="auto"/>
        <w:contextualSpacing/>
        <w:jc w:val="both"/>
        <w:rPr>
          <w:rFonts w:ascii="Calibri" w:hAnsi="Calibri"/>
          <w:b/>
          <w:bCs/>
          <w:noProof w:val="0"/>
          <w:sz w:val="12"/>
          <w:szCs w:val="12"/>
          <w:u w:val="single"/>
        </w:rPr>
      </w:pPr>
    </w:p>
    <w:p w:rsidR="0071081D" w:rsidRDefault="0071081D" w:rsidP="0071081D">
      <w:pPr>
        <w:spacing w:after="120" w:line="360" w:lineRule="auto"/>
        <w:contextualSpacing/>
        <w:jc w:val="both"/>
        <w:rPr>
          <w:rFonts w:ascii="Calibri" w:hAnsi="Calibri"/>
          <w:b/>
          <w:bCs/>
          <w:noProof w:val="0"/>
          <w:rtl/>
        </w:rPr>
      </w:pPr>
      <w:r>
        <w:rPr>
          <w:rFonts w:ascii="Calibri" w:hAnsi="Calibri"/>
          <w:b/>
          <w:bCs/>
          <w:noProof w:val="0"/>
          <w:u w:val="single"/>
          <w:rtl/>
        </w:rPr>
        <w:t>על ההסדר הרכושי של בני הזוג (הנתבעים)</w:t>
      </w:r>
      <w:r>
        <w:rPr>
          <w:rFonts w:ascii="Calibri" w:hAnsi="Calibri"/>
          <w:noProof w:val="0"/>
          <w:rtl/>
        </w:rPr>
        <w:t>:</w:t>
      </w:r>
      <w:r>
        <w:rPr>
          <w:rFonts w:ascii="Calibri" w:hAnsi="Calibri"/>
          <w:b/>
          <w:bCs/>
          <w:noProof w:val="0"/>
          <w:rtl/>
        </w:rPr>
        <w:t xml:space="preserve"> </w:t>
      </w:r>
    </w:p>
    <w:p w:rsidR="0071081D" w:rsidRDefault="0071081D" w:rsidP="0071081D">
      <w:pPr>
        <w:pStyle w:val="af"/>
        <w:rPr>
          <w:rFonts w:ascii="Calibri" w:hAnsi="Calibri"/>
          <w:b/>
          <w:bCs/>
          <w:noProof w:val="0"/>
          <w:sz w:val="12"/>
          <w:szCs w:val="12"/>
        </w:rPr>
      </w:pPr>
    </w:p>
    <w:p w:rsidR="0071081D" w:rsidRPr="0071081D" w:rsidRDefault="0071081D" w:rsidP="0071081D">
      <w:pPr>
        <w:numPr>
          <w:ilvl w:val="0"/>
          <w:numId w:val="1"/>
        </w:numPr>
        <w:spacing w:after="120" w:line="360" w:lineRule="auto"/>
        <w:ind w:hanging="720"/>
        <w:contextualSpacing/>
        <w:jc w:val="both"/>
        <w:rPr>
          <w:rFonts w:ascii="Calibri" w:hAnsi="Calibri"/>
          <w:noProof w:val="0"/>
          <w:rtl/>
        </w:rPr>
      </w:pPr>
      <w:r w:rsidRPr="0071081D">
        <w:rPr>
          <w:noProof w:val="0"/>
          <w:rtl/>
          <w:lang w:eastAsia="he-IL"/>
        </w:rPr>
        <w:t xml:space="preserve">בענייננו בני הזוג נישאו בשנת 1992 ומשכך חל עליהם משטר איזון משאבים בהתאם להוראות </w:t>
      </w:r>
      <w:hyperlink r:id="rId9" w:history="1">
        <w:r w:rsidRPr="0071081D">
          <w:rPr>
            <w:rStyle w:val="Hyperlink"/>
            <w:noProof w:val="0"/>
            <w:color w:val="auto"/>
            <w:u w:val="none"/>
            <w:rtl/>
            <w:lang w:eastAsia="he-IL"/>
          </w:rPr>
          <w:t>חוק יחסי ממון בין בני זוג</w:t>
        </w:r>
      </w:hyperlink>
      <w:r w:rsidRPr="0071081D">
        <w:rPr>
          <w:rStyle w:val="Hyperlink"/>
          <w:noProof w:val="0"/>
          <w:color w:val="auto"/>
          <w:u w:val="none"/>
          <w:rtl/>
          <w:lang w:eastAsia="he-IL"/>
        </w:rPr>
        <w:t>, תשל"ג – 1973</w:t>
      </w:r>
      <w:r w:rsidRPr="0071081D">
        <w:rPr>
          <w:noProof w:val="0"/>
          <w:rtl/>
          <w:lang w:eastAsia="he-IL"/>
        </w:rPr>
        <w:t xml:space="preserve"> (להלן: "</w:t>
      </w:r>
      <w:r w:rsidRPr="0071081D">
        <w:rPr>
          <w:b/>
          <w:bCs/>
          <w:noProof w:val="0"/>
          <w:rtl/>
          <w:lang w:eastAsia="he-IL"/>
        </w:rPr>
        <w:t>חוק יחסי ממון</w:t>
      </w:r>
      <w:r w:rsidRPr="0071081D">
        <w:rPr>
          <w:noProof w:val="0"/>
          <w:rtl/>
          <w:lang w:eastAsia="he-IL"/>
        </w:rPr>
        <w:t xml:space="preserve">"). </w:t>
      </w:r>
    </w:p>
    <w:p w:rsidR="0071081D" w:rsidRDefault="0071081D" w:rsidP="0071081D">
      <w:pPr>
        <w:spacing w:after="120" w:line="360" w:lineRule="auto"/>
        <w:ind w:left="720"/>
        <w:contextualSpacing/>
        <w:jc w:val="both"/>
        <w:rPr>
          <w:rFonts w:ascii="Calibri" w:hAnsi="Calibri"/>
          <w:noProof w:val="0"/>
          <w:sz w:val="12"/>
          <w:szCs w:val="12"/>
        </w:rPr>
      </w:pPr>
    </w:p>
    <w:p w:rsidR="0071081D" w:rsidRDefault="0071081D" w:rsidP="0071081D">
      <w:pPr>
        <w:numPr>
          <w:ilvl w:val="0"/>
          <w:numId w:val="1"/>
        </w:numPr>
        <w:spacing w:after="120" w:line="360" w:lineRule="auto"/>
        <w:ind w:hanging="720"/>
        <w:contextualSpacing/>
        <w:jc w:val="both"/>
        <w:rPr>
          <w:rFonts w:ascii="Calibri" w:hAnsi="Calibri"/>
          <w:noProof w:val="0"/>
        </w:rPr>
      </w:pPr>
      <w:r>
        <w:rPr>
          <w:rFonts w:ascii="David" w:hAnsi="David"/>
          <w:noProof w:val="0"/>
          <w:rtl/>
        </w:rPr>
        <w:t xml:space="preserve">סעיף 5(א) (1) לחוק יחסי ממון בין בני זוג קובע כדלקמן: </w:t>
      </w:r>
    </w:p>
    <w:p w:rsidR="0071081D" w:rsidRPr="0071081D" w:rsidRDefault="0071081D" w:rsidP="002B2F70">
      <w:pPr>
        <w:pStyle w:val="af"/>
        <w:spacing w:after="120" w:line="240" w:lineRule="atLeast"/>
        <w:jc w:val="both"/>
        <w:rPr>
          <w:rStyle w:val="default"/>
          <w:rFonts w:ascii="David" w:hAnsi="David" w:cs="David"/>
          <w:b/>
          <w:bCs/>
          <w:sz w:val="24"/>
          <w:szCs w:val="24"/>
        </w:rPr>
      </w:pPr>
      <w:r w:rsidRPr="0071081D">
        <w:rPr>
          <w:rFonts w:ascii="David" w:hAnsi="David"/>
        </w:rPr>
        <mc:AlternateContent>
          <mc:Choice Requires="wps">
            <w:drawing>
              <wp:anchor distT="0" distB="0" distL="114300" distR="114300" simplePos="0" relativeHeight="251657216" behindDoc="0" locked="1" layoutInCell="0" allowOverlap="1">
                <wp:simplePos x="0" y="0"/>
                <wp:positionH relativeFrom="column">
                  <wp:posOffset>7613650</wp:posOffset>
                </wp:positionH>
                <wp:positionV relativeFrom="paragraph">
                  <wp:posOffset>178435</wp:posOffset>
                </wp:positionV>
                <wp:extent cx="953135" cy="459105"/>
                <wp:effectExtent l="0" t="0" r="18415" b="17145"/>
                <wp:wrapNone/>
                <wp:docPr id="5" name="מלבן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53135" cy="4591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FF00"/>
                              </a:solidFill>
                              <a:miter lim="800000"/>
                              <a:headEnd/>
                              <a:tailEnd/>
                            </a14:hiddenLine>
                          </a:ext>
                        </a:extLst>
                      </wps:spPr>
                      <wps:txbx>
                        <w:txbxContent>
                          <w:p w:rsidR="0071081D" w:rsidRDefault="0071081D" w:rsidP="0071081D">
                            <w:pPr>
                              <w:spacing w:line="160" w:lineRule="exact"/>
                              <w:rPr>
                                <w:rFonts w:cs="Miriam"/>
                                <w:sz w:val="18"/>
                                <w:szCs w:val="18"/>
                              </w:rPr>
                            </w:pPr>
                            <w:r>
                              <w:rPr>
                                <w:rFonts w:cs="Miriam"/>
                                <w:sz w:val="18"/>
                                <w:szCs w:val="18"/>
                                <w:rtl/>
                              </w:rPr>
                              <w:t>הזכות לאיזון בפקיעת הנשואין</w:t>
                            </w:r>
                          </w:p>
                          <w:p w:rsidR="0071081D" w:rsidRDefault="0071081D" w:rsidP="0071081D">
                            <w:pPr>
                              <w:spacing w:line="160" w:lineRule="exact"/>
                              <w:rPr>
                                <w:rFonts w:cs="Miriam"/>
                                <w:sz w:val="18"/>
                                <w:szCs w:val="18"/>
                              </w:rPr>
                            </w:pPr>
                            <w:r>
                              <w:rPr>
                                <w:rFonts w:cs="Miriam"/>
                                <w:sz w:val="18"/>
                                <w:szCs w:val="18"/>
                                <w:rtl/>
                              </w:rPr>
                              <w:t>תשס"ט-2008</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מלבן 5" o:spid="_x0000_s1026" style="position:absolute;left:0;text-align:left;margin-left:599.5pt;margin-top:14.05pt;width:75.05pt;height:36.1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" o:allowincell="f" filled="f" stroked="f" strokecolor="lime" strokeweight=".25pt">
                <v:textbox inset="0,0,0,0">
                  <w:txbxContent>
                    <w:p w:rsidR="0071081D" w:rsidRDefault="0071081D" w:rsidP="0071081D">
                      <w:pPr>
                        <w:spacing w:line="160" w:lineRule="exact"/>
                        <w:rPr>
                          <w:rFonts w:cs="Miriam"/>
                          <w:sz w:val="18"/>
                          <w:szCs w:val="18"/>
                        </w:rPr>
                      </w:pPr>
                      <w:r>
                        <w:rPr>
                          <w:rFonts w:cs="Miriam"/>
                          <w:sz w:val="18"/>
                          <w:szCs w:val="18"/>
                          <w:rtl/>
                        </w:rPr>
                        <w:t>הזכות לאיזון בפקיעת הנשואין</w:t>
                      </w:r>
                    </w:p>
                    <w:p w:rsidR="0071081D" w:rsidRDefault="0071081D" w:rsidP="0071081D">
                      <w:pPr>
                        <w:spacing w:line="160" w:lineRule="exact"/>
                        <w:rPr>
                          <w:rFonts w:cs="Miriam"/>
                          <w:sz w:val="18"/>
                          <w:szCs w:val="18"/>
                        </w:rPr>
                      </w:pPr>
                      <w:r>
                        <w:rPr>
                          <w:rFonts w:cs="Miriam"/>
                          <w:sz w:val="18"/>
                          <w:szCs w:val="18"/>
                          <w:rtl/>
                        </w:rPr>
                        <w:t>תשס"ט-2008</w:t>
                      </w:r>
                    </w:p>
                  </w:txbxContent>
                </v:textbox>
                <w10:anchorlock/>
              </v:rect>
            </w:pict>
          </mc:Fallback>
        </mc:AlternateContent>
      </w:r>
      <w:r w:rsidRPr="0071081D">
        <w:rPr>
          <w:rStyle w:val="big-number"/>
          <w:rFonts w:ascii="David" w:hAnsi="David" w:cs="David"/>
          <w:sz w:val="24"/>
          <w:szCs w:val="24"/>
        </w:rPr>
        <w:t>"</w:t>
      </w:r>
      <w:r w:rsidRPr="0071081D">
        <w:rPr>
          <w:rStyle w:val="big-number"/>
          <w:rFonts w:ascii="David" w:hAnsi="David" w:cs="David"/>
          <w:b/>
          <w:bCs/>
          <w:sz w:val="24"/>
          <w:szCs w:val="24"/>
          <w:rtl/>
        </w:rPr>
        <w:t xml:space="preserve">5. </w:t>
      </w:r>
      <w:r w:rsidRPr="0071081D">
        <w:rPr>
          <w:rStyle w:val="default"/>
          <w:rFonts w:ascii="David" w:hAnsi="David" w:cs="David"/>
          <w:b/>
          <w:bCs/>
          <w:sz w:val="24"/>
          <w:szCs w:val="24"/>
          <w:rtl/>
        </w:rPr>
        <w:t>(א)</w:t>
      </w:r>
      <w:r w:rsidRPr="0071081D">
        <w:rPr>
          <w:rStyle w:val="default"/>
          <w:rFonts w:ascii="David" w:hAnsi="David" w:cs="David"/>
          <w:b/>
          <w:bCs/>
          <w:sz w:val="24"/>
          <w:szCs w:val="24"/>
          <w:rtl/>
        </w:rPr>
        <w:tab/>
        <w:t xml:space="preserve">עם התרת הנישואין או עם </w:t>
      </w:r>
      <w:r w:rsidRPr="0071081D">
        <w:rPr>
          <w:rFonts w:ascii="David" w:hAnsi="David"/>
          <w:b/>
          <w:bCs/>
          <w:noProof w:val="0"/>
          <w:rtl/>
        </w:rPr>
        <w:t>פקיעת</w:t>
      </w:r>
      <w:r w:rsidRPr="0071081D">
        <w:rPr>
          <w:rStyle w:val="default"/>
          <w:rFonts w:ascii="David" w:hAnsi="David" w:cs="David"/>
          <w:b/>
          <w:bCs/>
          <w:sz w:val="24"/>
          <w:szCs w:val="24"/>
          <w:rtl/>
        </w:rPr>
        <w:t xml:space="preserve"> הנישואין עקב מותו של בן זוג (בחוק זה  פקיעת הנישואין) זכאי כל אחד מבני הזוג למחצית שוויים של כלל נכסי בני הזוג, </w:t>
      </w:r>
      <w:r w:rsidRPr="0071081D">
        <w:rPr>
          <w:rStyle w:val="default"/>
          <w:rFonts w:ascii="David" w:hAnsi="David" w:cs="David"/>
          <w:b/>
          <w:bCs/>
          <w:sz w:val="24"/>
          <w:szCs w:val="24"/>
          <w:u w:val="single"/>
          <w:rtl/>
        </w:rPr>
        <w:t>למעט</w:t>
      </w:r>
      <w:r w:rsidRPr="0071081D">
        <w:rPr>
          <w:rStyle w:val="default"/>
          <w:rFonts w:ascii="David" w:hAnsi="David" w:cs="David"/>
          <w:b/>
          <w:bCs/>
          <w:sz w:val="24"/>
          <w:szCs w:val="24"/>
          <w:rtl/>
        </w:rPr>
        <w:t xml:space="preserve"> –</w:t>
      </w:r>
    </w:p>
    <w:p w:rsidR="0071081D" w:rsidRPr="0071081D" w:rsidRDefault="0071081D" w:rsidP="002B2F70">
      <w:pPr>
        <w:pStyle w:val="af"/>
        <w:spacing w:before="120" w:after="120" w:line="240" w:lineRule="atLeast"/>
        <w:jc w:val="both"/>
        <w:rPr>
          <w:rStyle w:val="default"/>
          <w:rFonts w:ascii="David" w:hAnsi="David" w:cs="David"/>
          <w:b/>
          <w:bCs/>
          <w:sz w:val="24"/>
          <w:szCs w:val="24"/>
          <w:rtl/>
        </w:rPr>
      </w:pPr>
      <w:r w:rsidRPr="0071081D">
        <w:rPr>
          <w:rStyle w:val="default"/>
          <w:rFonts w:ascii="David" w:hAnsi="David" w:cs="David"/>
          <w:b/>
          <w:bCs/>
          <w:sz w:val="24"/>
          <w:szCs w:val="24"/>
          <w:rtl/>
        </w:rPr>
        <w:t>(1)</w:t>
      </w:r>
      <w:r w:rsidRPr="0071081D">
        <w:rPr>
          <w:rStyle w:val="default"/>
          <w:rFonts w:ascii="David" w:hAnsi="David" w:cs="David"/>
          <w:b/>
          <w:bCs/>
          <w:sz w:val="24"/>
          <w:szCs w:val="24"/>
          <w:rtl/>
        </w:rPr>
        <w:tab/>
        <w:t>נכסים שהיו להם ערב הנישואין או שקיבלו במתנה או בירושה בתקופת הנישואין;</w:t>
      </w:r>
    </w:p>
    <w:p w:rsidR="0071081D" w:rsidRPr="0071081D" w:rsidRDefault="0071081D" w:rsidP="002B2F70">
      <w:pPr>
        <w:pStyle w:val="af"/>
        <w:spacing w:after="120" w:line="240" w:lineRule="atLeast"/>
        <w:ind w:left="1440" w:hanging="720"/>
        <w:jc w:val="both"/>
        <w:rPr>
          <w:rStyle w:val="default"/>
          <w:rFonts w:ascii="David" w:hAnsi="David" w:cs="David"/>
          <w:b/>
          <w:bCs/>
          <w:sz w:val="24"/>
          <w:szCs w:val="24"/>
        </w:rPr>
      </w:pPr>
      <w:r w:rsidRPr="0071081D">
        <w:rPr>
          <w:rFonts w:ascii="David" w:hAnsi="David"/>
        </w:rPr>
        <w:lastRenderedPageBreak/>
        <mc:AlternateContent>
          <mc:Choice Requires="wps">
            <w:drawing>
              <wp:anchor distT="0" distB="0" distL="114300" distR="114300" simplePos="0" relativeHeight="251658240" behindDoc="0" locked="1" layoutInCell="0" allowOverlap="1">
                <wp:simplePos x="0" y="0"/>
                <wp:positionH relativeFrom="column">
                  <wp:posOffset>6852920</wp:posOffset>
                </wp:positionH>
                <wp:positionV relativeFrom="paragraph">
                  <wp:posOffset>365125</wp:posOffset>
                </wp:positionV>
                <wp:extent cx="2925445" cy="388620"/>
                <wp:effectExtent l="0" t="0" r="8255" b="11430"/>
                <wp:wrapNone/>
                <wp:docPr id="4" name="מלבן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flipV="1">
                          <a:off x="0" y="0"/>
                          <a:ext cx="2925445" cy="3886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FF00"/>
                              </a:solidFill>
                              <a:miter lim="800000"/>
                              <a:headEnd/>
                              <a:tailEnd/>
                            </a14:hiddenLine>
                          </a:ext>
                        </a:extLst>
                      </wps:spPr>
                      <wps:txbx>
                        <w:txbxContent>
                          <w:p w:rsidR="0071081D" w:rsidRDefault="0071081D" w:rsidP="0071081D">
                            <w:pPr>
                              <w:spacing w:line="160" w:lineRule="exact"/>
                              <w:rPr>
                                <w:rFonts w:cs="Miriam"/>
                                <w:sz w:val="18"/>
                                <w:szCs w:val="18"/>
                              </w:rPr>
                            </w:pPr>
                            <w:r>
                              <w:rPr>
                                <w:rFonts w:cs="Miriam"/>
                                <w:sz w:val="18"/>
                                <w:szCs w:val="18"/>
                                <w:rtl/>
                              </w:rPr>
                              <w:br/>
                              <w:t>תש"ן-1990</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id="מלבן 4" o:spid="_x0000_s1027" style="position:absolute;left:0;text-align:left;margin-left:539.6pt;margin-top:28.75pt;width:230.35pt;height:30.6pt;flip:x y;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" o:allowincell="f" filled="f" stroked="f" strokecolor="lime" strokeweight=".25pt">
                <v:textbox inset="0,0,0,0">
                  <w:txbxContent>
                    <w:p w:rsidR="0071081D" w:rsidRDefault="0071081D" w:rsidP="0071081D">
                      <w:pPr>
                        <w:spacing w:line="160" w:lineRule="exact"/>
                        <w:rPr>
                          <w:rFonts w:cs="Miriam"/>
                          <w:sz w:val="18"/>
                          <w:szCs w:val="18"/>
                        </w:rPr>
                      </w:pPr>
                      <w:r>
                        <w:rPr>
                          <w:rFonts w:cs="Miriam"/>
                          <w:sz w:val="18"/>
                          <w:szCs w:val="18"/>
                          <w:rtl/>
                        </w:rPr>
                        <w:br/>
                        <w:t>תש"ן-1990</w:t>
                      </w:r>
                    </w:p>
                  </w:txbxContent>
                </v:textbox>
                <w10:anchorlock/>
              </v:rect>
            </w:pict>
          </mc:Fallback>
        </mc:AlternateContent>
      </w:r>
      <w:r w:rsidRPr="0071081D">
        <w:rPr>
          <w:rStyle w:val="default"/>
          <w:rFonts w:ascii="David" w:hAnsi="David" w:cs="David"/>
          <w:b/>
          <w:bCs/>
          <w:sz w:val="24"/>
          <w:szCs w:val="24"/>
          <w:rtl/>
        </w:rPr>
        <w:t>(2)</w:t>
      </w:r>
      <w:r w:rsidRPr="0071081D">
        <w:rPr>
          <w:rStyle w:val="default"/>
          <w:rFonts w:ascii="David" w:hAnsi="David" w:cs="David"/>
          <w:b/>
          <w:bCs/>
          <w:sz w:val="24"/>
          <w:szCs w:val="24"/>
          <w:rtl/>
        </w:rPr>
        <w:tab/>
        <w:t>גימלה המשתלמת לאחד מבני הזוג על-ידי המוסד לביטוח לאומי, או גימלה או פיצוי שנפסקו או המגיעים על פי חיקוק לאחד מבני-הזוג בשל נזק גוף, או מוות;</w:t>
      </w:r>
    </w:p>
    <w:p w:rsidR="0071081D" w:rsidRPr="0071081D" w:rsidRDefault="0071081D" w:rsidP="002B2F70">
      <w:pPr>
        <w:pStyle w:val="P22"/>
        <w:spacing w:before="72" w:line="240" w:lineRule="atLeast"/>
        <w:ind w:left="720" w:right="1134"/>
        <w:rPr>
          <w:rStyle w:val="default"/>
          <w:rFonts w:ascii="David" w:hAnsi="David" w:cs="David"/>
          <w:b/>
          <w:bCs/>
          <w:sz w:val="24"/>
          <w:szCs w:val="24"/>
          <w:rtl/>
        </w:rPr>
      </w:pPr>
      <w:r w:rsidRPr="0071081D">
        <w:rPr>
          <w:rStyle w:val="default"/>
          <w:rFonts w:ascii="David" w:hAnsi="David" w:cs="David"/>
          <w:b/>
          <w:bCs/>
          <w:sz w:val="24"/>
          <w:szCs w:val="24"/>
          <w:rtl/>
        </w:rPr>
        <w:t>(3)</w:t>
      </w:r>
      <w:r w:rsidRPr="0071081D">
        <w:rPr>
          <w:rStyle w:val="default"/>
          <w:rFonts w:ascii="David" w:hAnsi="David" w:cs="David"/>
          <w:b/>
          <w:bCs/>
          <w:sz w:val="24"/>
          <w:szCs w:val="24"/>
          <w:rtl/>
        </w:rPr>
        <w:tab/>
        <w:t>נכסים שבני הזוג הסכימו בכתב ששוויים לא יאוזן ביניהם.</w:t>
      </w:r>
    </w:p>
    <w:p w:rsidR="0071081D" w:rsidRPr="0071081D" w:rsidRDefault="0071081D" w:rsidP="002B2F70">
      <w:pPr>
        <w:pStyle w:val="af"/>
        <w:spacing w:before="120" w:after="120" w:line="240" w:lineRule="atLeast"/>
        <w:ind w:left="1440" w:hanging="723"/>
        <w:jc w:val="both"/>
        <w:rPr>
          <w:rStyle w:val="default"/>
          <w:rFonts w:ascii="David" w:hAnsi="David" w:cs="David"/>
          <w:b/>
          <w:bCs/>
          <w:sz w:val="24"/>
          <w:szCs w:val="24"/>
          <w:rtl/>
        </w:rPr>
      </w:pPr>
      <w:r w:rsidRPr="0071081D">
        <w:rPr>
          <w:rStyle w:val="default"/>
          <w:rFonts w:ascii="David" w:hAnsi="David" w:cs="David"/>
          <w:b/>
          <w:bCs/>
          <w:sz w:val="24"/>
          <w:szCs w:val="24"/>
          <w:rtl/>
        </w:rPr>
        <w:t>(ב)</w:t>
      </w:r>
      <w:r w:rsidRPr="0071081D">
        <w:rPr>
          <w:rStyle w:val="default"/>
          <w:rFonts w:ascii="David" w:hAnsi="David" w:cs="David"/>
          <w:b/>
          <w:bCs/>
          <w:sz w:val="24"/>
          <w:szCs w:val="24"/>
          <w:rtl/>
        </w:rPr>
        <w:tab/>
        <w:t>בפקיעת הנישואין עקב מותו של בן זוג יבואו, לענין הזכות, לאיזון המשאבים, יורשיו במקומו</w:t>
      </w:r>
      <w:r w:rsidRPr="0071081D">
        <w:rPr>
          <w:rStyle w:val="default"/>
          <w:rFonts w:ascii="David" w:hAnsi="David" w:cs="David"/>
          <w:sz w:val="24"/>
          <w:szCs w:val="24"/>
          <w:rtl/>
        </w:rPr>
        <w:t>".</w:t>
      </w:r>
    </w:p>
    <w:p w:rsidR="0071081D" w:rsidRDefault="0071081D" w:rsidP="0071081D">
      <w:pPr>
        <w:spacing w:before="120" w:after="120" w:line="360" w:lineRule="auto"/>
        <w:ind w:left="720"/>
        <w:contextualSpacing/>
        <w:jc w:val="both"/>
        <w:rPr>
          <w:rFonts w:ascii="Arial" w:hAnsi="Arial"/>
          <w:noProof w:val="0"/>
          <w:sz w:val="12"/>
          <w:szCs w:val="12"/>
          <w:rtl/>
        </w:rPr>
      </w:pPr>
    </w:p>
    <w:p w:rsidR="0071081D" w:rsidRDefault="0071081D" w:rsidP="0071081D">
      <w:pPr>
        <w:numPr>
          <w:ilvl w:val="0"/>
          <w:numId w:val="1"/>
        </w:numPr>
        <w:spacing w:after="120" w:line="360" w:lineRule="auto"/>
        <w:ind w:hanging="720"/>
        <w:contextualSpacing/>
        <w:jc w:val="both"/>
        <w:rPr>
          <w:rFonts w:ascii="Calibri" w:hAnsi="Calibri"/>
          <w:noProof w:val="0"/>
        </w:rPr>
      </w:pPr>
      <w:r>
        <w:rPr>
          <w:rFonts w:ascii="David" w:hAnsi="David"/>
          <w:noProof w:val="0"/>
          <w:rtl/>
        </w:rPr>
        <w:t xml:space="preserve">כאמור, על פי סעיף 5 (א)(1) לחוק יחסי ממון כלל הנכסים ו/או הכספים שנצברו לבני הזוג בתקופת הנישואין ועד מועד הקרע הם נכסים משותפים, למעט נכסים "חיצוניים" כגון נכסים שהיו לבני הזוג ערב הנישואין ו/או שהתקבלו במתנה או בירושה בתקופת הנישואין, או גמלה המשתלמת למי מבני הזוג או נכסים שהצדדים שהצדדים הסכימו בכתב ששווים לא יאוזן ביניהם. </w:t>
      </w:r>
    </w:p>
    <w:p w:rsidR="0071081D" w:rsidRDefault="0071081D" w:rsidP="0071081D">
      <w:pPr>
        <w:spacing w:before="120" w:after="120" w:line="360" w:lineRule="auto"/>
        <w:contextualSpacing/>
        <w:jc w:val="both"/>
        <w:rPr>
          <w:rFonts w:ascii="Calibri" w:hAnsi="Calibri"/>
          <w:b/>
          <w:bCs/>
          <w:noProof w:val="0"/>
          <w:sz w:val="12"/>
          <w:szCs w:val="12"/>
        </w:rPr>
      </w:pPr>
    </w:p>
    <w:p w:rsidR="0071081D" w:rsidRDefault="0071081D" w:rsidP="002B2F70">
      <w:pPr>
        <w:numPr>
          <w:ilvl w:val="0"/>
          <w:numId w:val="1"/>
        </w:numPr>
        <w:spacing w:before="120" w:after="120" w:line="360" w:lineRule="auto"/>
        <w:ind w:hanging="720"/>
        <w:contextualSpacing/>
        <w:jc w:val="both"/>
        <w:rPr>
          <w:rFonts w:ascii="Arial" w:hAnsi="Arial"/>
          <w:noProof w:val="0"/>
          <w:rtl/>
        </w:rPr>
      </w:pPr>
      <w:r>
        <w:rPr>
          <w:rFonts w:ascii="Calibri" w:hAnsi="Calibri"/>
          <w:noProof w:val="0"/>
          <w:rtl/>
        </w:rPr>
        <w:t>בנסיבות אלו, עולה בבירור כי טענת התובעים ו/או הנתבע לפיה הנתבע החזיק את הכספים בחשבונות בנק נפרדים (בנק בינלאומי ו/או בנק דיסקונט) שנרשמו רק על שמו - אין לה על מה לסמוך. בהתאם להוראות החוק כספים שהופקדו במהלך תקופת הנישואין לחשבונות מי מבני הזוג הינם משותפים ללא קשר על שם מי הם רשומים.</w:t>
      </w:r>
    </w:p>
    <w:p w:rsidR="0071081D" w:rsidRDefault="0071081D" w:rsidP="0071081D">
      <w:pPr>
        <w:pStyle w:val="af"/>
        <w:rPr>
          <w:rFonts w:ascii="Calibri" w:hAnsi="Calibri"/>
          <w:noProof w:val="0"/>
          <w:sz w:val="12"/>
          <w:szCs w:val="12"/>
        </w:rPr>
      </w:pPr>
    </w:p>
    <w:p w:rsidR="0071081D" w:rsidRDefault="0071081D" w:rsidP="0071081D">
      <w:pPr>
        <w:numPr>
          <w:ilvl w:val="0"/>
          <w:numId w:val="1"/>
        </w:numPr>
        <w:spacing w:after="120" w:line="360" w:lineRule="auto"/>
        <w:ind w:hanging="720"/>
        <w:contextualSpacing/>
        <w:jc w:val="both"/>
        <w:rPr>
          <w:rFonts w:ascii="Calibri" w:hAnsi="Calibri"/>
          <w:noProof w:val="0"/>
          <w:rtl/>
        </w:rPr>
      </w:pPr>
      <w:r>
        <w:rPr>
          <w:rFonts w:ascii="Calibri" w:hAnsi="Calibri"/>
          <w:noProof w:val="0"/>
          <w:rtl/>
        </w:rPr>
        <w:t xml:space="preserve">יתר על כן, ביום 2.4.18 העביר הנתבע באופן מפורש כספים אלו לחשבון בנק משותף של בני הזוג. </w:t>
      </w:r>
      <w:r>
        <w:rPr>
          <w:rFonts w:ascii="Calibri" w:hAnsi="Calibri"/>
          <w:rtl/>
        </w:rPr>
        <w:t>עצם העברת הכספים לחשבון המשותף של הצדדים מקימה את חזקת השיתוף של הנתבעת בכספים אלו</w:t>
      </w:r>
      <w:r>
        <w:rPr>
          <w:rFonts w:ascii="Calibri" w:hAnsi="Calibri"/>
          <w:noProof w:val="0"/>
          <w:rtl/>
        </w:rPr>
        <w:t>.</w:t>
      </w:r>
      <w:r>
        <w:rPr>
          <w:rFonts w:ascii="Calibri" w:hAnsi="Calibri"/>
          <w:rtl/>
        </w:rPr>
        <w:t xml:space="preserve"> יפים לענין זה דבריה של כב' השופטת נתניהו בע"א 122/83 </w:t>
      </w:r>
      <w:r>
        <w:rPr>
          <w:rFonts w:ascii="Calibri" w:hAnsi="Calibri"/>
          <w:b/>
          <w:bCs/>
          <w:u w:val="single"/>
          <w:rtl/>
        </w:rPr>
        <w:t>בסיליאן נ' בסיליאן</w:t>
      </w:r>
      <w:r>
        <w:rPr>
          <w:rFonts w:ascii="Calibri" w:hAnsi="Calibri"/>
          <w:rtl/>
        </w:rPr>
        <w:t xml:space="preserve">, פ"ד נ (1) 287 בקשר להלכת השיתוף בנכסים אשר ניתן להקישם גם לעקרונות המשטר הרכושי של הצדדים בענייננו (שיתוף מכוח חוק יחסי ממון) לאמור: </w:t>
      </w:r>
    </w:p>
    <w:p w:rsidR="0071081D" w:rsidRDefault="0071081D" w:rsidP="0071081D">
      <w:pPr>
        <w:spacing w:line="360" w:lineRule="auto"/>
        <w:ind w:left="680"/>
        <w:contextualSpacing/>
        <w:jc w:val="both"/>
        <w:rPr>
          <w:rFonts w:ascii="David" w:hAnsi="David"/>
          <w:sz w:val="12"/>
          <w:szCs w:val="12"/>
        </w:rPr>
      </w:pPr>
    </w:p>
    <w:p w:rsidR="0071081D" w:rsidRDefault="0071081D" w:rsidP="0071081D">
      <w:pPr>
        <w:spacing w:line="300" w:lineRule="atLeast"/>
        <w:ind w:left="1440"/>
        <w:contextualSpacing/>
        <w:jc w:val="both"/>
        <w:rPr>
          <w:rFonts w:ascii="Calibri" w:hAnsi="Calibri"/>
          <w:rtl/>
        </w:rPr>
      </w:pPr>
      <w:r>
        <w:rPr>
          <w:rFonts w:ascii="Calibri" w:hAnsi="Calibri"/>
          <w:rtl/>
        </w:rPr>
        <w:t>"</w:t>
      </w:r>
      <w:r>
        <w:rPr>
          <w:rFonts w:ascii="Calibri" w:hAnsi="Calibri"/>
          <w:b/>
          <w:bCs/>
          <w:rtl/>
        </w:rPr>
        <w:t>הלכת השיתוף מייחסת לצדדים כוונת שיתוף בנכסיהם ויוצרת חזקה בדבר כוונה כזו מעצם אורח חיי הנישואין שלהם, שבם לא שמרו על קו הפרדה של "שלי – שלי ושלך – שלך" (ויש דורשים בנוסף לכך, ראיה, ולוא קלושה, להוכחת הכוונה). הנחה זו ניתנת לסתירה על-ידי כל אחד מבעלי הדין על-ידי הוכחת כוונת אחרת, העולה מהנסיבות. במילים אחרות, הנחת השיתוף חלה, כאשר בני הזוג לא הבדילו בין ההכנסות לבין הרכוש של כל אחד מהם אלא מיזגו והכניסו אותם לקופה אחת ובכך איחדו את משאביהם</w:t>
      </w:r>
      <w:r>
        <w:rPr>
          <w:rFonts w:ascii="Calibri" w:hAnsi="Calibri"/>
          <w:rtl/>
        </w:rPr>
        <w:t xml:space="preserve">" (עמ' 294 לפסק הדין).  </w:t>
      </w:r>
    </w:p>
    <w:p w:rsidR="0071081D" w:rsidRDefault="0071081D" w:rsidP="0071081D">
      <w:pPr>
        <w:pStyle w:val="af"/>
        <w:rPr>
          <w:rFonts w:ascii="Calibri" w:hAnsi="Calibri"/>
          <w:noProof w:val="0"/>
          <w:rtl/>
        </w:rPr>
      </w:pPr>
    </w:p>
    <w:p w:rsidR="0071081D" w:rsidRDefault="0071081D" w:rsidP="00D42F16">
      <w:pPr>
        <w:numPr>
          <w:ilvl w:val="0"/>
          <w:numId w:val="1"/>
        </w:numPr>
        <w:spacing w:after="120" w:line="360" w:lineRule="auto"/>
        <w:ind w:hanging="720"/>
        <w:contextualSpacing/>
        <w:jc w:val="both"/>
        <w:rPr>
          <w:rFonts w:ascii="Calibri" w:hAnsi="Calibri"/>
          <w:noProof w:val="0"/>
          <w:rtl/>
        </w:rPr>
      </w:pPr>
      <w:r>
        <w:rPr>
          <w:rFonts w:ascii="Calibri" w:hAnsi="Calibri"/>
          <w:noProof w:val="0"/>
          <w:rtl/>
        </w:rPr>
        <w:t xml:space="preserve">בקשר לטענת ההפרדה הכלכלית שהעלה הנתבע הן לפני חודש מאי 2016 והן לאחר מכן, אציין כי טענה זו נסתרת </w:t>
      </w:r>
      <w:r w:rsidR="00D42F16">
        <w:rPr>
          <w:rFonts w:ascii="Calibri" w:hAnsi="Calibri" w:hint="cs"/>
          <w:noProof w:val="0"/>
          <w:rtl/>
        </w:rPr>
        <w:t>באופן מפורש</w:t>
      </w:r>
      <w:r>
        <w:rPr>
          <w:rFonts w:ascii="Calibri" w:hAnsi="Calibri"/>
          <w:noProof w:val="0"/>
          <w:rtl/>
        </w:rPr>
        <w:t xml:space="preserve"> מתוך ההסכם שגובש בין בני הזוג וקיבל תוקף של פסק דין לאיזון משאבים בנוגע לכלל הרכוש שנצבר להם בתקופת הנישואין לרבות זכויות סוציאליות ממקומות העבודה ובהתאם נערכה חוו"ד אקט</w:t>
      </w:r>
      <w:r w:rsidR="002B2F70">
        <w:rPr>
          <w:rFonts w:ascii="Calibri" w:hAnsi="Calibri" w:hint="cs"/>
          <w:noProof w:val="0"/>
          <w:rtl/>
        </w:rPr>
        <w:t>ו</w:t>
      </w:r>
      <w:r>
        <w:rPr>
          <w:rFonts w:ascii="Calibri" w:hAnsi="Calibri"/>
          <w:noProof w:val="0"/>
          <w:rtl/>
        </w:rPr>
        <w:t xml:space="preserve">ארית. הסכם זה קיבל תוקף של פסק דין ביום 18.5.21. כן, הסכימו הצדדים כי למעט הכספים נשוא התביעה אשר יוכרעו ע"י ביהמ"ש כלל הכספים בחשבון הבנק המשותף של הצדדים הינם משותפים וכי לאחר הכרעת ביהמ"ש יפעלו הצדדים בהתאם לסגירת החשבון המשותף ו/או חלוקתו ביניהם בחלקים שווים. די בכך כדי לדחות את הטענה לפיה הצדדים התנהלו בהפרדה כלכלית כביכול. </w:t>
      </w:r>
    </w:p>
    <w:p w:rsidR="0071081D" w:rsidRDefault="0071081D" w:rsidP="0071081D">
      <w:pPr>
        <w:spacing w:after="120" w:line="360" w:lineRule="auto"/>
        <w:ind w:left="720"/>
        <w:contextualSpacing/>
        <w:jc w:val="both"/>
        <w:rPr>
          <w:rFonts w:ascii="Calibri" w:hAnsi="Calibri"/>
          <w:noProof w:val="0"/>
          <w:sz w:val="12"/>
          <w:szCs w:val="12"/>
        </w:rPr>
      </w:pPr>
    </w:p>
    <w:p w:rsidR="0071081D" w:rsidRDefault="0071081D" w:rsidP="0071081D">
      <w:pPr>
        <w:numPr>
          <w:ilvl w:val="0"/>
          <w:numId w:val="1"/>
        </w:numPr>
        <w:spacing w:after="120" w:line="360" w:lineRule="auto"/>
        <w:ind w:hanging="720"/>
        <w:contextualSpacing/>
        <w:jc w:val="both"/>
        <w:rPr>
          <w:rFonts w:ascii="Calibri" w:hAnsi="Calibri"/>
          <w:noProof w:val="0"/>
        </w:rPr>
      </w:pPr>
      <w:r>
        <w:rPr>
          <w:rFonts w:ascii="Calibri" w:hAnsi="Calibri"/>
          <w:noProof w:val="0"/>
          <w:rtl/>
        </w:rPr>
        <w:lastRenderedPageBreak/>
        <w:t xml:space="preserve">גם הטענה לפיה מאחר שמאז חודש מאי 2016 הנתבעת אינה מפקידה כספים כלשהם לחשבון המשותף ואין היא עושה שימוש כלשהו בחשבון המשותף, אזי לא מתבצעות פעולות כאלו ואחרות בחשבון המשותף שיש בהן כדי לערבב את כספי בני הזוג עם כספי התובעים, אין לה על מה לסמוך. הוכח מעדותו של הנתבע כי גם לאחר חודש מאי 2016 (הגם שאין לכך משמעות כמפורט לעיל), הוכנסו והוצאו כספים מהחשבון המשותף לטובת הבית והמשפחה ובכלל כך: הופקדו כספי מזומן, נכנסה קצבת הילדים, הופקדו כספי בר המצווה של הבן, הופקדו שיקים, שולמה משכנתא משותפת, שולמו הלוואות משותפות, חויבו כרטיסי אשראי וכו' (עמ' 75-77 לפרוט' 18.5.21). לאור האמור, גם לאחר הפרדת החשבונות כביכול עדיין היתה התנהלות משותפת בחשבון הבנק המשותף ולצרכי התא המשפחתי. </w:t>
      </w:r>
    </w:p>
    <w:p w:rsidR="0071081D" w:rsidRDefault="0071081D" w:rsidP="0071081D">
      <w:pPr>
        <w:spacing w:after="120" w:line="360" w:lineRule="auto"/>
        <w:ind w:left="720"/>
        <w:contextualSpacing/>
        <w:jc w:val="both"/>
        <w:rPr>
          <w:rFonts w:ascii="Calibri" w:hAnsi="Calibri"/>
          <w:noProof w:val="0"/>
          <w:sz w:val="12"/>
          <w:szCs w:val="12"/>
        </w:rPr>
      </w:pPr>
    </w:p>
    <w:p w:rsidR="0071081D" w:rsidRDefault="0071081D" w:rsidP="0071081D">
      <w:pPr>
        <w:numPr>
          <w:ilvl w:val="0"/>
          <w:numId w:val="1"/>
        </w:numPr>
        <w:spacing w:after="120" w:line="360" w:lineRule="auto"/>
        <w:ind w:hanging="720"/>
        <w:contextualSpacing/>
        <w:jc w:val="both"/>
        <w:rPr>
          <w:rFonts w:ascii="Calibri" w:hAnsi="Calibri"/>
          <w:noProof w:val="0"/>
        </w:rPr>
      </w:pPr>
      <w:r>
        <w:rPr>
          <w:rFonts w:ascii="Calibri" w:hAnsi="Calibri"/>
          <w:noProof w:val="0"/>
          <w:rtl/>
        </w:rPr>
        <w:t>אשר לטענת התובעים לפיה הנתבעת ידעה על העברת הכספים של התובעים לידי הנתבע, ועל כן יש בכד כדי לסתור את חזקת השיתוף, אציין כי דין טענה זו להידחות, ואפרט:</w:t>
      </w:r>
    </w:p>
    <w:p w:rsidR="0071081D" w:rsidRDefault="0071081D" w:rsidP="0071081D">
      <w:pPr>
        <w:spacing w:after="120" w:line="360" w:lineRule="auto"/>
        <w:ind w:left="720"/>
        <w:contextualSpacing/>
        <w:jc w:val="both"/>
        <w:rPr>
          <w:rFonts w:ascii="Calibri" w:hAnsi="Calibri"/>
          <w:noProof w:val="0"/>
          <w:sz w:val="12"/>
          <w:szCs w:val="12"/>
        </w:rPr>
      </w:pPr>
    </w:p>
    <w:p w:rsidR="0071081D" w:rsidRDefault="0071081D" w:rsidP="0071081D">
      <w:pPr>
        <w:numPr>
          <w:ilvl w:val="0"/>
          <w:numId w:val="1"/>
        </w:numPr>
        <w:spacing w:after="120" w:line="360" w:lineRule="auto"/>
        <w:ind w:hanging="720"/>
        <w:contextualSpacing/>
        <w:jc w:val="both"/>
        <w:rPr>
          <w:rFonts w:ascii="Calibri" w:hAnsi="Calibri"/>
          <w:noProof w:val="0"/>
        </w:rPr>
      </w:pPr>
      <w:r>
        <w:rPr>
          <w:rFonts w:ascii="Calibri" w:hAnsi="Calibri"/>
          <w:noProof w:val="0"/>
          <w:rtl/>
        </w:rPr>
        <w:t>אמנם הנתבעת אישרה כי לפני שנים רבות הנתבע אמר לה כי בכוונת התובעים להעביר אליו כספים שלהם, אולם הנתבעת העידה כי מדובר היה בשנת 2007 וכי מאז חלפו כ-10 שנים כאשר אין לנתבעת כל ידיעה מה עלה בגורל הכספים. הנתבעת העידה כי התובע מידר אותה בכל הנוגע להתנהלות כלכלית והפיננסית וכי היא היתה אחראית לטיפול בילדים ובבית, ולדבריה: "</w:t>
      </w:r>
      <w:r>
        <w:rPr>
          <w:rFonts w:ascii="Calibri" w:hAnsi="Calibri"/>
          <w:b/>
          <w:bCs/>
          <w:noProof w:val="0"/>
          <w:rtl/>
        </w:rPr>
        <w:t>הוא היה מתעסק בקטע הכלכלי והפיננסי ואני לא יודעת אם נכנס, יצא, מה יצא, מה נכנס, אני לא יודעת</w:t>
      </w:r>
      <w:r>
        <w:rPr>
          <w:rFonts w:ascii="Calibri" w:hAnsi="Calibri"/>
          <w:noProof w:val="0"/>
          <w:rtl/>
        </w:rPr>
        <w:t>" (עמ' 26, ש' 33, 31 לפרוט' 2.11.21) וכן "</w:t>
      </w:r>
      <w:r>
        <w:rPr>
          <w:rFonts w:ascii="Calibri" w:hAnsi="Calibri"/>
          <w:b/>
          <w:bCs/>
          <w:noProof w:val="0"/>
          <w:rtl/>
        </w:rPr>
        <w:t>אני לא יודעת כי ההתנהלות בינינו היתה הוא התעסק בקטע הכספי, אני התעסקתי בדברים של הבית והילדים...</w:t>
      </w:r>
      <w:r>
        <w:rPr>
          <w:rFonts w:ascii="Calibri" w:hAnsi="Calibri"/>
          <w:noProof w:val="0"/>
          <w:rtl/>
        </w:rPr>
        <w:t xml:space="preserve">" (עמ' 31, ש' 34, 35). </w:t>
      </w:r>
    </w:p>
    <w:p w:rsidR="0071081D" w:rsidRDefault="0071081D" w:rsidP="0071081D">
      <w:pPr>
        <w:pStyle w:val="af"/>
        <w:rPr>
          <w:rFonts w:ascii="Calibri" w:hAnsi="Calibri"/>
          <w:noProof w:val="0"/>
          <w:sz w:val="12"/>
          <w:szCs w:val="12"/>
        </w:rPr>
      </w:pPr>
    </w:p>
    <w:p w:rsidR="0071081D" w:rsidRDefault="0071081D" w:rsidP="0071081D">
      <w:pPr>
        <w:numPr>
          <w:ilvl w:val="0"/>
          <w:numId w:val="1"/>
        </w:numPr>
        <w:spacing w:after="120" w:line="360" w:lineRule="auto"/>
        <w:ind w:hanging="720"/>
        <w:contextualSpacing/>
        <w:jc w:val="both"/>
        <w:rPr>
          <w:rFonts w:ascii="Calibri" w:hAnsi="Calibri"/>
          <w:noProof w:val="0"/>
          <w:rtl/>
        </w:rPr>
      </w:pPr>
      <w:r>
        <w:rPr>
          <w:rFonts w:ascii="Calibri" w:hAnsi="Calibri"/>
          <w:noProof w:val="0"/>
          <w:rtl/>
        </w:rPr>
        <w:t>יתר על כן, הנתבעת העידה מספר רב של פעמים כי אולצה על ידי הנתבע לפתוח ולנהל חשבון בנק נפרד מיום 1.6.2016 וממילא אין בכך הסכמה להפרדה רכושית ו/או כספית ו/או לשלילת זכויותיה בחשבון הבנק המשותף, ולדבריה: "</w:t>
      </w:r>
      <w:r>
        <w:rPr>
          <w:rFonts w:ascii="Calibri" w:hAnsi="Calibri"/>
          <w:b/>
          <w:bCs/>
          <w:noProof w:val="0"/>
          <w:rtl/>
        </w:rPr>
        <w:t>הוא אילץ אותי לא לגעת שם, כאילו מבחינתו, כאילו את לא נוגעת יותר בחשבון הזה</w:t>
      </w:r>
      <w:r>
        <w:rPr>
          <w:rFonts w:ascii="Calibri" w:hAnsi="Calibri"/>
          <w:noProof w:val="0"/>
          <w:rtl/>
        </w:rPr>
        <w:t>" (שם, בעמ' 21, ש' 13-14); "</w:t>
      </w:r>
      <w:r>
        <w:rPr>
          <w:rFonts w:ascii="Calibri" w:hAnsi="Calibri"/>
          <w:b/>
          <w:bCs/>
          <w:noProof w:val="0"/>
          <w:rtl/>
        </w:rPr>
        <w:t>הוא דרש לא לגעת שם, זה מה שהיה...</w:t>
      </w:r>
      <w:r>
        <w:rPr>
          <w:rFonts w:ascii="Calibri" w:hAnsi="Calibri"/>
          <w:noProof w:val="0"/>
          <w:rtl/>
        </w:rPr>
        <w:t>" (עמ' 24, ש' 5); "</w:t>
      </w:r>
      <w:r>
        <w:rPr>
          <w:rFonts w:ascii="Calibri" w:hAnsi="Calibri"/>
          <w:b/>
          <w:bCs/>
          <w:noProof w:val="0"/>
          <w:rtl/>
        </w:rPr>
        <w:t>הוא דחק לפינה, אל תגעי, לא נגעתי</w:t>
      </w:r>
      <w:r>
        <w:rPr>
          <w:rFonts w:ascii="Calibri" w:hAnsi="Calibri"/>
          <w:noProof w:val="0"/>
          <w:rtl/>
        </w:rPr>
        <w:t>" (שם, עמ' 26, ש' 27); "</w:t>
      </w:r>
      <w:r>
        <w:rPr>
          <w:rFonts w:ascii="Calibri" w:hAnsi="Calibri"/>
          <w:b/>
          <w:bCs/>
          <w:noProof w:val="0"/>
          <w:rtl/>
        </w:rPr>
        <w:t>הוא לא בדיוק שימש את אורי בלבד כי פשוט הוא, אילץ אותי לא לגעת שם</w:t>
      </w:r>
      <w:r>
        <w:rPr>
          <w:rFonts w:ascii="Calibri" w:hAnsi="Calibri"/>
          <w:noProof w:val="0"/>
          <w:rtl/>
        </w:rPr>
        <w:t>" (שם, עמ' 47, ש' 33-34); "</w:t>
      </w:r>
      <w:r>
        <w:rPr>
          <w:rFonts w:ascii="Calibri" w:hAnsi="Calibri"/>
          <w:b/>
          <w:bCs/>
          <w:noProof w:val="0"/>
          <w:rtl/>
        </w:rPr>
        <w:t>אמרתי לך, ברגע שאמר לי לא לגעת, לא נגעתי, .... כי ככה זה התנהל, זה מה שהוא דרש, אז לא נגעתי שם, לא ראיתי מה קורה</w:t>
      </w:r>
      <w:r>
        <w:rPr>
          <w:rFonts w:ascii="Calibri" w:hAnsi="Calibri"/>
          <w:noProof w:val="0"/>
          <w:rtl/>
        </w:rPr>
        <w:t xml:space="preserve">" (עמ' 38, ש' 7-10) ועוד.  </w:t>
      </w:r>
    </w:p>
    <w:p w:rsidR="0071081D" w:rsidRDefault="0071081D" w:rsidP="0071081D">
      <w:pPr>
        <w:pStyle w:val="af"/>
        <w:rPr>
          <w:rFonts w:ascii="Calibri" w:hAnsi="Calibri"/>
          <w:noProof w:val="0"/>
          <w:sz w:val="12"/>
          <w:szCs w:val="12"/>
        </w:rPr>
      </w:pPr>
    </w:p>
    <w:p w:rsidR="0071081D" w:rsidRDefault="0071081D" w:rsidP="0071081D">
      <w:pPr>
        <w:numPr>
          <w:ilvl w:val="0"/>
          <w:numId w:val="1"/>
        </w:numPr>
        <w:spacing w:after="120" w:line="360" w:lineRule="auto"/>
        <w:ind w:hanging="720"/>
        <w:contextualSpacing/>
        <w:jc w:val="both"/>
        <w:rPr>
          <w:rFonts w:ascii="Calibri" w:hAnsi="Calibri"/>
          <w:noProof w:val="0"/>
          <w:rtl/>
        </w:rPr>
      </w:pPr>
      <w:r>
        <w:rPr>
          <w:rFonts w:ascii="Calibri" w:hAnsi="Calibri"/>
          <w:noProof w:val="0"/>
          <w:rtl/>
        </w:rPr>
        <w:t>יצוין, כי גם הנתבע לא העיד כי ההתנהלות בחשבונות נפרדים היתה בשל הרצון ליצור הפרדה רכושית ולדבריו: "</w:t>
      </w:r>
      <w:r>
        <w:rPr>
          <w:rFonts w:ascii="Calibri" w:hAnsi="Calibri"/>
          <w:b/>
          <w:bCs/>
          <w:noProof w:val="0"/>
          <w:rtl/>
        </w:rPr>
        <w:t>אני לא כפיתי על אף אחד, היתה הסכמה, דיברנו ואמרנו שננהל חשבונות נפרדים כדי שנראה שכל אחד יעשה בחשבון שלו את מה שצריך</w:t>
      </w:r>
      <w:r>
        <w:rPr>
          <w:rFonts w:ascii="Calibri" w:hAnsi="Calibri"/>
          <w:noProof w:val="0"/>
          <w:rtl/>
        </w:rPr>
        <w:t xml:space="preserve">" (עמ' 75, ש' 19-20 לפרוט' 18.5.21). </w:t>
      </w:r>
      <w:r w:rsidR="000E2570">
        <w:rPr>
          <w:rFonts w:ascii="Calibri" w:hAnsi="Calibri" w:hint="cs"/>
          <w:noProof w:val="0"/>
          <w:rtl/>
        </w:rPr>
        <w:t xml:space="preserve"> משמע, לכל היותר הוסכם על ניהול נפרד כביכול של חשבונות הבנק מבלי לפגוע בזכויות מהותיות של שיתוף בכספים. </w:t>
      </w:r>
    </w:p>
    <w:p w:rsidR="0071081D" w:rsidRDefault="0071081D" w:rsidP="0071081D">
      <w:pPr>
        <w:pStyle w:val="af"/>
        <w:rPr>
          <w:rFonts w:ascii="Calibri" w:hAnsi="Calibri"/>
          <w:noProof w:val="0"/>
          <w:sz w:val="12"/>
          <w:szCs w:val="12"/>
        </w:rPr>
      </w:pPr>
    </w:p>
    <w:p w:rsidR="0071081D" w:rsidRDefault="0071081D" w:rsidP="0071081D">
      <w:pPr>
        <w:numPr>
          <w:ilvl w:val="0"/>
          <w:numId w:val="1"/>
        </w:numPr>
        <w:spacing w:after="120" w:line="360" w:lineRule="auto"/>
        <w:ind w:hanging="720"/>
        <w:contextualSpacing/>
        <w:jc w:val="both"/>
        <w:rPr>
          <w:rFonts w:ascii="Calibri" w:hAnsi="Calibri"/>
          <w:noProof w:val="0"/>
          <w:rtl/>
        </w:rPr>
      </w:pPr>
      <w:r>
        <w:rPr>
          <w:rFonts w:ascii="Calibri" w:hAnsi="Calibri"/>
          <w:noProof w:val="0"/>
          <w:rtl/>
        </w:rPr>
        <w:lastRenderedPageBreak/>
        <w:t xml:space="preserve">הנה כי כן, בנסיבות אלו, אין לקבל את טענת התובעים והנתבע לפיה הנתבעת ידעה והסכימה להתנהלות הנפרדת בחשבונות הבנק וכי יש בכך כדי להעיד על העדר שיתוף בכספים שהופקדו לחשבון הבנק המשותף. טענה זו סותרת את התנהלות בני הזוג בפועל וממילא אין בה כדי לפגוע בזכויותיה המהותיות של הנתבעת לשיתוף בכספים בחשבון זה. </w:t>
      </w:r>
    </w:p>
    <w:p w:rsidR="0071081D" w:rsidRDefault="0071081D" w:rsidP="0071081D">
      <w:pPr>
        <w:pStyle w:val="af"/>
        <w:rPr>
          <w:rFonts w:ascii="Calibri" w:hAnsi="Calibri"/>
          <w:noProof w:val="0"/>
          <w:sz w:val="12"/>
          <w:szCs w:val="12"/>
        </w:rPr>
      </w:pPr>
    </w:p>
    <w:p w:rsidR="0071081D" w:rsidRDefault="0071081D" w:rsidP="00D42F16">
      <w:pPr>
        <w:numPr>
          <w:ilvl w:val="0"/>
          <w:numId w:val="1"/>
        </w:numPr>
        <w:spacing w:after="120" w:line="360" w:lineRule="auto"/>
        <w:ind w:hanging="720"/>
        <w:contextualSpacing/>
        <w:jc w:val="both"/>
        <w:rPr>
          <w:rFonts w:ascii="Calibri" w:hAnsi="Calibri"/>
          <w:noProof w:val="0"/>
          <w:rtl/>
        </w:rPr>
      </w:pPr>
      <w:r>
        <w:rPr>
          <w:rFonts w:ascii="Calibri" w:hAnsi="Calibri"/>
          <w:noProof w:val="0"/>
          <w:rtl/>
        </w:rPr>
        <w:t xml:space="preserve">אשר על כן, לאור כל האמור, מצאתי כי טענות התובעים בנוגע לזכויותיה של התובעת בכספים שהועברו לחשבון הבנק המשותף והתערבבו עם כספיהם של בני הזוג נסתרת בבירור בהתאם לחוק יחסי ממון, הוא הדין הרלבנטי החל במישור היחסים הרכושי בין בני הזוג.  </w:t>
      </w:r>
      <w:r w:rsidR="000E2570">
        <w:rPr>
          <w:rFonts w:ascii="Calibri" w:hAnsi="Calibri" w:hint="cs"/>
          <w:noProof w:val="0"/>
          <w:rtl/>
        </w:rPr>
        <w:t>משכך,</w:t>
      </w:r>
      <w:r w:rsidR="00D42F16">
        <w:rPr>
          <w:rFonts w:ascii="Calibri" w:hAnsi="Calibri" w:hint="cs"/>
          <w:noProof w:val="0"/>
          <w:rtl/>
        </w:rPr>
        <w:t xml:space="preserve"> ככל שקיימת לתובעים עילת תביעה בהיבט זה, </w:t>
      </w:r>
      <w:r w:rsidR="000E2570">
        <w:rPr>
          <w:rFonts w:ascii="Calibri" w:hAnsi="Calibri" w:hint="cs"/>
          <w:noProof w:val="0"/>
          <w:rtl/>
        </w:rPr>
        <w:t xml:space="preserve">אזי עילת תביעה זו הינה במישור היחסים מול הנתבע בלבד. </w:t>
      </w:r>
    </w:p>
    <w:p w:rsidR="0071081D" w:rsidRDefault="0071081D" w:rsidP="0071081D">
      <w:pPr>
        <w:pStyle w:val="af"/>
        <w:rPr>
          <w:rFonts w:ascii="Calibri" w:hAnsi="Calibri"/>
          <w:noProof w:val="0"/>
          <w:sz w:val="12"/>
          <w:szCs w:val="12"/>
        </w:rPr>
      </w:pPr>
    </w:p>
    <w:p w:rsidR="0071081D" w:rsidRDefault="0071081D" w:rsidP="0071081D">
      <w:pPr>
        <w:spacing w:after="120" w:line="360" w:lineRule="auto"/>
        <w:contextualSpacing/>
        <w:jc w:val="both"/>
        <w:rPr>
          <w:rFonts w:ascii="Calibri" w:hAnsi="Calibri"/>
          <w:noProof w:val="0"/>
          <w:u w:val="single"/>
          <w:rtl/>
        </w:rPr>
      </w:pPr>
      <w:r>
        <w:rPr>
          <w:rFonts w:ascii="Calibri" w:hAnsi="Calibri"/>
          <w:b/>
          <w:bCs/>
          <w:noProof w:val="0"/>
          <w:u w:val="single"/>
          <w:rtl/>
        </w:rPr>
        <w:t>על טענת הנאמנות</w:t>
      </w:r>
      <w:r>
        <w:rPr>
          <w:rFonts w:ascii="Calibri" w:hAnsi="Calibri"/>
          <w:noProof w:val="0"/>
          <w:rtl/>
        </w:rPr>
        <w:t xml:space="preserve">: </w:t>
      </w:r>
    </w:p>
    <w:p w:rsidR="0071081D" w:rsidRDefault="0071081D" w:rsidP="0071081D">
      <w:pPr>
        <w:pStyle w:val="af"/>
        <w:rPr>
          <w:rFonts w:ascii="Calibri" w:hAnsi="Calibri"/>
          <w:noProof w:val="0"/>
          <w:sz w:val="12"/>
          <w:szCs w:val="12"/>
        </w:rPr>
      </w:pPr>
    </w:p>
    <w:p w:rsidR="0071081D" w:rsidRDefault="0071081D" w:rsidP="0071081D">
      <w:pPr>
        <w:numPr>
          <w:ilvl w:val="0"/>
          <w:numId w:val="1"/>
        </w:numPr>
        <w:spacing w:after="120" w:line="360" w:lineRule="auto"/>
        <w:ind w:hanging="720"/>
        <w:contextualSpacing/>
        <w:jc w:val="both"/>
        <w:rPr>
          <w:rFonts w:ascii="Calibri" w:hAnsi="Calibri"/>
          <w:noProof w:val="0"/>
          <w:rtl/>
        </w:rPr>
      </w:pPr>
      <w:r>
        <w:rPr>
          <w:rFonts w:ascii="Arial" w:hAnsi="Arial"/>
          <w:rtl/>
        </w:rPr>
        <w:t>סעיף 1 לחוק הנאמנות, תשל"ט – 1979 (להלן: "</w:t>
      </w:r>
      <w:r>
        <w:rPr>
          <w:rFonts w:ascii="Arial" w:hAnsi="Arial"/>
          <w:b/>
          <w:bCs/>
          <w:rtl/>
        </w:rPr>
        <w:t>חוק הנאמנות</w:t>
      </w:r>
      <w:r>
        <w:rPr>
          <w:rFonts w:ascii="Arial" w:hAnsi="Arial"/>
          <w:rtl/>
        </w:rPr>
        <w:t>") מגדיר נאמנות כ"</w:t>
      </w:r>
      <w:r>
        <w:rPr>
          <w:rFonts w:ascii="Arial" w:hAnsi="Arial"/>
          <w:b/>
          <w:bCs/>
          <w:rtl/>
        </w:rPr>
        <w:t>זיקה לנכס שעל פיה חייב נאמן להחזיק או לפעול בו לטובת נהנה או למטרה אחרת</w:t>
      </w:r>
      <w:r>
        <w:rPr>
          <w:rFonts w:ascii="Arial" w:hAnsi="Arial"/>
          <w:rtl/>
        </w:rPr>
        <w:t xml:space="preserve">". </w:t>
      </w:r>
    </w:p>
    <w:p w:rsidR="0071081D" w:rsidRDefault="0071081D" w:rsidP="0071081D">
      <w:pPr>
        <w:pStyle w:val="af"/>
        <w:rPr>
          <w:rFonts w:ascii="Arial" w:hAnsi="Arial"/>
          <w:sz w:val="12"/>
          <w:szCs w:val="12"/>
        </w:rPr>
      </w:pPr>
    </w:p>
    <w:p w:rsidR="0071081D" w:rsidRDefault="0071081D" w:rsidP="0071081D">
      <w:pPr>
        <w:numPr>
          <w:ilvl w:val="0"/>
          <w:numId w:val="1"/>
        </w:numPr>
        <w:spacing w:after="120" w:line="360" w:lineRule="auto"/>
        <w:ind w:hanging="720"/>
        <w:contextualSpacing/>
        <w:jc w:val="both"/>
        <w:rPr>
          <w:rFonts w:ascii="Calibri" w:hAnsi="Calibri"/>
          <w:noProof w:val="0"/>
          <w:rtl/>
        </w:rPr>
      </w:pPr>
      <w:r>
        <w:rPr>
          <w:rFonts w:ascii="Arial" w:hAnsi="Arial"/>
          <w:rtl/>
        </w:rPr>
        <w:t>סעיף 2 לחוק הנאמנות קובע כי "</w:t>
      </w:r>
      <w:r>
        <w:rPr>
          <w:rFonts w:ascii="Arial" w:hAnsi="Arial"/>
          <w:b/>
          <w:bCs/>
          <w:rtl/>
        </w:rPr>
        <w:t>נאמנות נוצרת על פי חוק, על פי חוזה עם נאמן או על פי כתב הקדש</w:t>
      </w:r>
      <w:r>
        <w:rPr>
          <w:rFonts w:ascii="Arial" w:hAnsi="Arial"/>
          <w:rtl/>
        </w:rPr>
        <w:t xml:space="preserve">". </w:t>
      </w:r>
    </w:p>
    <w:p w:rsidR="0071081D" w:rsidRDefault="0071081D" w:rsidP="0071081D">
      <w:pPr>
        <w:pStyle w:val="af"/>
        <w:rPr>
          <w:rFonts w:ascii="Arial" w:hAnsi="Arial"/>
          <w:sz w:val="12"/>
          <w:szCs w:val="12"/>
        </w:rPr>
      </w:pPr>
    </w:p>
    <w:p w:rsidR="0071081D" w:rsidRDefault="0071081D" w:rsidP="0071081D">
      <w:pPr>
        <w:numPr>
          <w:ilvl w:val="0"/>
          <w:numId w:val="1"/>
        </w:numPr>
        <w:spacing w:after="120" w:line="360" w:lineRule="auto"/>
        <w:ind w:hanging="720"/>
        <w:contextualSpacing/>
        <w:jc w:val="both"/>
        <w:rPr>
          <w:rFonts w:ascii="Calibri" w:hAnsi="Calibri"/>
          <w:noProof w:val="0"/>
          <w:rtl/>
        </w:rPr>
      </w:pPr>
      <w:r>
        <w:rPr>
          <w:rFonts w:ascii="Arial" w:hAnsi="Arial"/>
          <w:rtl/>
        </w:rPr>
        <w:t xml:space="preserve">עיון בחוק הנאמנות מלמד כי החוק אינו קובע דרישת צורה מיוחדת לצורך עריכת חוזה נאמנות, אלא החוזה יכול שייעשה בעל פה, בכתב או בכל צורה אחרת. יפים לעניין זה דבריו של כב' השופט טירקל ברע"א 5715/95 </w:t>
      </w:r>
      <w:r>
        <w:rPr>
          <w:rFonts w:ascii="Arial" w:hAnsi="Arial"/>
          <w:b/>
          <w:bCs/>
          <w:u w:val="single"/>
          <w:rtl/>
        </w:rPr>
        <w:t>ויינשטיין נ' פוקס</w:t>
      </w:r>
      <w:r>
        <w:rPr>
          <w:rFonts w:ascii="Arial" w:hAnsi="Arial"/>
          <w:rtl/>
        </w:rPr>
        <w:t xml:space="preserve"> פ"ד נד (5) 792, כדלקמן: </w:t>
      </w:r>
    </w:p>
    <w:p w:rsidR="0071081D" w:rsidRDefault="0071081D" w:rsidP="0071081D">
      <w:pPr>
        <w:spacing w:line="360" w:lineRule="auto"/>
        <w:jc w:val="both"/>
        <w:rPr>
          <w:rFonts w:ascii="Arial" w:hAnsi="Arial"/>
        </w:rPr>
      </w:pPr>
    </w:p>
    <w:p w:rsidR="0071081D" w:rsidRDefault="0071081D" w:rsidP="0071081D">
      <w:pPr>
        <w:spacing w:line="300" w:lineRule="atLeast"/>
        <w:ind w:left="1440"/>
        <w:jc w:val="both"/>
        <w:rPr>
          <w:b/>
          <w:bCs/>
          <w:rtl/>
        </w:rPr>
      </w:pPr>
      <w:r>
        <w:rPr>
          <w:rFonts w:ascii="Arial" w:hAnsi="Arial"/>
          <w:rtl/>
        </w:rPr>
        <w:t>"</w:t>
      </w:r>
      <w:r>
        <w:rPr>
          <w:b/>
          <w:bCs/>
          <w:rtl/>
        </w:rPr>
        <w:t>הדרכים שעל פיהן נוצרת נאמנות לפי סעיף 2 לחוק אינן אלא דרכים אופייניות כדי ליצור אותה, אולם אין בפירוט זה כדי לשלול דרכים אחרות – כגון יצירת נאמנות על ידי צו של בית המשפט – ובוודאי שאין בפירוט כדי לפסול נאמנות שנוצרה בדרך אחרת. גישה זו רצויה משום שהיא פורשת את מצודת הוראותיו של החוק גם על נאמנויות שלא נוצרו על פי אחת מן הדרכים שבסעיף 2 לחוק".</w:t>
      </w:r>
    </w:p>
    <w:p w:rsidR="0071081D" w:rsidRDefault="0071081D" w:rsidP="0071081D">
      <w:pPr>
        <w:spacing w:line="300" w:lineRule="atLeast"/>
        <w:jc w:val="both"/>
        <w:rPr>
          <w:rFonts w:ascii="Arial" w:hAnsi="Arial"/>
          <w:rtl/>
        </w:rPr>
      </w:pPr>
    </w:p>
    <w:p w:rsidR="0071081D" w:rsidRDefault="0071081D" w:rsidP="0071081D">
      <w:pPr>
        <w:numPr>
          <w:ilvl w:val="0"/>
          <w:numId w:val="1"/>
        </w:numPr>
        <w:spacing w:after="120" w:line="360" w:lineRule="auto"/>
        <w:ind w:hanging="720"/>
        <w:contextualSpacing/>
        <w:jc w:val="both"/>
        <w:rPr>
          <w:rFonts w:ascii="Calibri" w:hAnsi="Calibri"/>
          <w:noProof w:val="0"/>
          <w:rtl/>
        </w:rPr>
      </w:pPr>
      <w:r>
        <w:rPr>
          <w:rFonts w:ascii="Arial" w:hAnsi="Arial"/>
          <w:rtl/>
        </w:rPr>
        <w:t xml:space="preserve">וכן דברי המלומד שלמה כרם בספרו </w:t>
      </w:r>
      <w:r>
        <w:rPr>
          <w:rFonts w:ascii="Arial" w:hAnsi="Arial"/>
          <w:b/>
          <w:bCs/>
          <w:u w:val="single"/>
          <w:rtl/>
        </w:rPr>
        <w:t>נאמנות</w:t>
      </w:r>
      <w:r>
        <w:rPr>
          <w:rFonts w:ascii="Arial" w:hAnsi="Arial"/>
          <w:rtl/>
        </w:rPr>
        <w:t xml:space="preserve"> (מהדורה רביעית) 2004, בעמ' 184 לאמור: </w:t>
      </w:r>
    </w:p>
    <w:p w:rsidR="0071081D" w:rsidRDefault="0071081D" w:rsidP="0071081D">
      <w:pPr>
        <w:spacing w:line="360" w:lineRule="auto"/>
        <w:ind w:left="680"/>
        <w:contextualSpacing/>
        <w:jc w:val="both"/>
        <w:rPr>
          <w:rFonts w:ascii="Arial" w:hAnsi="Arial"/>
          <w:sz w:val="12"/>
          <w:szCs w:val="12"/>
        </w:rPr>
      </w:pPr>
    </w:p>
    <w:p w:rsidR="0071081D" w:rsidRDefault="0071081D" w:rsidP="0071081D">
      <w:pPr>
        <w:spacing w:line="300" w:lineRule="atLeast"/>
        <w:ind w:left="1440"/>
        <w:contextualSpacing/>
        <w:jc w:val="both"/>
        <w:rPr>
          <w:rFonts w:ascii="Arial" w:hAnsi="Arial"/>
          <w:b/>
          <w:bCs/>
          <w:rtl/>
        </w:rPr>
      </w:pPr>
      <w:r>
        <w:rPr>
          <w:rFonts w:ascii="Arial" w:hAnsi="Arial"/>
          <w:rtl/>
        </w:rPr>
        <w:t>"</w:t>
      </w:r>
      <w:r>
        <w:rPr>
          <w:rFonts w:ascii="Arial" w:hAnsi="Arial"/>
          <w:b/>
          <w:bCs/>
          <w:rtl/>
        </w:rPr>
        <w:t>חוזה נאמנות, ככל חוזה אחר, יכול שייעשה בעל-פה, בכתב או בצורה אחרת. אין חוק הנאמנות דורש צורה מסוימת ... קיבול הצעת חוזה על-ידי נאמן אינו חייב להיות באמצעות הודעה מפורשת מצדו. די אם יעשה הנאמן מעשה לביצוע החוזה או שיתנהג בצורה המעידה שקיבל עליו את חובת הנאמנות ...</w:t>
      </w:r>
    </w:p>
    <w:p w:rsidR="0071081D" w:rsidRDefault="0071081D" w:rsidP="0071081D">
      <w:pPr>
        <w:spacing w:line="300" w:lineRule="atLeast"/>
        <w:ind w:left="1440"/>
        <w:contextualSpacing/>
        <w:jc w:val="both"/>
        <w:rPr>
          <w:rFonts w:ascii="Arial" w:hAnsi="Arial"/>
          <w:b/>
          <w:bCs/>
          <w:rtl/>
        </w:rPr>
      </w:pPr>
      <w:r>
        <w:rPr>
          <w:rFonts w:ascii="Arial" w:hAnsi="Arial"/>
          <w:b/>
          <w:bCs/>
          <w:rtl/>
        </w:rPr>
        <w:t>מטבע הדברים, לעתים קרובות נכרת חוזה נאמנות ללא פורמליות או פירוט תנאי הנאמנות, בשל יחס האימון שיוצר הנאמנות רוחש לנאמן. במקרים אלה אין הצדדים מנסחים בבירור את טיב העסקה ותנאיה ...</w:t>
      </w:r>
      <w:r>
        <w:rPr>
          <w:rFonts w:ascii="Arial" w:hAnsi="Arial"/>
          <w:rtl/>
        </w:rPr>
        <w:t xml:space="preserve">". </w:t>
      </w:r>
    </w:p>
    <w:p w:rsidR="0071081D" w:rsidRDefault="0071081D" w:rsidP="0071081D">
      <w:pPr>
        <w:spacing w:line="360" w:lineRule="auto"/>
        <w:jc w:val="both"/>
        <w:rPr>
          <w:rFonts w:ascii="Arial" w:hAnsi="Arial"/>
        </w:rPr>
      </w:pPr>
    </w:p>
    <w:p w:rsidR="0071081D" w:rsidRDefault="0071081D" w:rsidP="0071081D">
      <w:pPr>
        <w:numPr>
          <w:ilvl w:val="0"/>
          <w:numId w:val="1"/>
        </w:numPr>
        <w:spacing w:after="120" w:line="360" w:lineRule="auto"/>
        <w:ind w:hanging="720"/>
        <w:contextualSpacing/>
        <w:jc w:val="both"/>
        <w:rPr>
          <w:rFonts w:ascii="Calibri" w:hAnsi="Calibri"/>
          <w:noProof w:val="0"/>
          <w:rtl/>
        </w:rPr>
      </w:pPr>
      <w:r>
        <w:rPr>
          <w:rFonts w:ascii="Arial" w:hAnsi="Arial"/>
          <w:rtl/>
        </w:rPr>
        <w:lastRenderedPageBreak/>
        <w:t>יצוין, כי נאמנות יכולה להיות גם משתמעת מן הנסיבות וזאת מקום שעולה מהתנהגות הצדדים כי הם התכוונו ליצור יחסי נאמנות, אך מסיבה כלשהי כוונתם לא הובעה במפורש. יפים לעניין זה דבריו של כב' השופט שמגר ב</w:t>
      </w:r>
      <w:r>
        <w:rPr>
          <w:rtl/>
        </w:rPr>
        <w:t xml:space="preserve">ע"א 3829/91 </w:t>
      </w:r>
      <w:r>
        <w:rPr>
          <w:b/>
          <w:bCs/>
          <w:u w:val="single"/>
          <w:rtl/>
        </w:rPr>
        <w:t>אבינועם וואלס נ' נחמה גת</w:t>
      </w:r>
      <w:r>
        <w:rPr>
          <w:rtl/>
        </w:rPr>
        <w:t>, פ"ד מח (1) 801</w:t>
      </w:r>
      <w:r>
        <w:rPr>
          <w:rFonts w:ascii="Arial" w:hAnsi="Arial"/>
          <w:rtl/>
        </w:rPr>
        <w:t xml:space="preserve"> (להלן: "</w:t>
      </w:r>
      <w:r>
        <w:rPr>
          <w:rFonts w:ascii="Arial" w:hAnsi="Arial"/>
          <w:b/>
          <w:bCs/>
          <w:rtl/>
        </w:rPr>
        <w:t>פרשת וואלס</w:t>
      </w:r>
      <w:r>
        <w:rPr>
          <w:rFonts w:ascii="Arial" w:hAnsi="Arial"/>
          <w:rtl/>
        </w:rPr>
        <w:t xml:space="preserve">"): </w:t>
      </w:r>
    </w:p>
    <w:p w:rsidR="0071081D" w:rsidRDefault="0071081D" w:rsidP="0071081D">
      <w:pPr>
        <w:spacing w:line="360" w:lineRule="auto"/>
        <w:ind w:left="680"/>
        <w:contextualSpacing/>
        <w:jc w:val="both"/>
        <w:rPr>
          <w:rFonts w:ascii="Arial" w:hAnsi="Arial"/>
          <w:sz w:val="12"/>
          <w:szCs w:val="12"/>
        </w:rPr>
      </w:pPr>
    </w:p>
    <w:p w:rsidR="0071081D" w:rsidRDefault="0071081D" w:rsidP="0071081D">
      <w:pPr>
        <w:spacing w:line="300" w:lineRule="atLeast"/>
        <w:ind w:left="1440"/>
        <w:contextualSpacing/>
        <w:jc w:val="both"/>
        <w:rPr>
          <w:rFonts w:ascii="Arial" w:hAnsi="Arial"/>
          <w:rtl/>
        </w:rPr>
      </w:pPr>
      <w:r>
        <w:rPr>
          <w:rFonts w:ascii="Arial" w:hAnsi="Arial"/>
          <w:rtl/>
        </w:rPr>
        <w:t>"</w:t>
      </w:r>
      <w:r>
        <w:rPr>
          <w:rFonts w:ascii="Arial" w:hAnsi="Arial"/>
          <w:b/>
          <w:bCs/>
        </w:rPr>
        <w:t>Implied Trust</w:t>
      </w:r>
      <w:r>
        <w:rPr>
          <w:rFonts w:ascii="Arial" w:hAnsi="Arial"/>
          <w:b/>
          <w:bCs/>
          <w:rtl/>
        </w:rPr>
        <w:t xml:space="preserve"> נוצר במשפט האנגלי כדי לענות על מקרים שבהם עולה מהתנהגות הצדדים ומפעולותיהם כי היתה כוונה ליצור נאמנות, אך מסיבה זו או אחרת כוונה זו לא הובעה במפורש ... כך למשל, כאשר נכס מועבר לגורם כלשהו לצורך מטרה שלא יצאה אל הפועל, או כאשר הנכס מועבר לנאמן ללא ציון מטרת ההעברה, או כאשר א' רוכש נכס בעבור ב' אך רושם אותו, כפתרון זמני או קבוע, על שמו. בכל המקרים האלה, אף שכוונת הצדדים לא הובעה במפורש, משתמע ממערכת היחסים שביניהם ומהתנהגותם, כי למרות זאת שהנכס רשום על שם אדם אחד, 'הזכויות שביושר' בו שייכות לאדם אחר</w:t>
      </w:r>
      <w:r>
        <w:rPr>
          <w:rFonts w:ascii="Arial" w:hAnsi="Arial"/>
          <w:rtl/>
        </w:rPr>
        <w:t xml:space="preserve">". </w:t>
      </w:r>
    </w:p>
    <w:p w:rsidR="0071081D" w:rsidRDefault="0071081D" w:rsidP="0071081D">
      <w:pPr>
        <w:spacing w:line="300" w:lineRule="atLeast"/>
        <w:ind w:left="1440"/>
        <w:contextualSpacing/>
        <w:jc w:val="both"/>
        <w:rPr>
          <w:rFonts w:ascii="Arial" w:hAnsi="Arial"/>
          <w:rtl/>
        </w:rPr>
      </w:pPr>
    </w:p>
    <w:p w:rsidR="0071081D" w:rsidRDefault="0071081D" w:rsidP="000E2570">
      <w:pPr>
        <w:numPr>
          <w:ilvl w:val="0"/>
          <w:numId w:val="1"/>
        </w:numPr>
        <w:spacing w:after="120" w:line="360" w:lineRule="auto"/>
        <w:ind w:hanging="720"/>
        <w:contextualSpacing/>
        <w:jc w:val="both"/>
        <w:rPr>
          <w:rFonts w:ascii="Calibri" w:hAnsi="Calibri"/>
          <w:noProof w:val="0"/>
          <w:rtl/>
        </w:rPr>
      </w:pPr>
      <w:r>
        <w:rPr>
          <w:rFonts w:ascii="Arial" w:hAnsi="Arial"/>
          <w:rtl/>
        </w:rPr>
        <w:t>במקרה דנן, אין חולק כי לא נכרת הסכם נאמנות בכתב בין הצדדים. משכך, על התובעים להוכיח כי גובש הסכם נאמנות משתמע לפיהם הכספים שהועברו לחשבונות הבנק של בני הזוג שייכים ל</w:t>
      </w:r>
      <w:r w:rsidR="000E2570">
        <w:rPr>
          <w:rFonts w:ascii="Arial" w:hAnsi="Arial" w:hint="cs"/>
          <w:rtl/>
        </w:rPr>
        <w:t>תובעים</w:t>
      </w:r>
      <w:r>
        <w:rPr>
          <w:rFonts w:ascii="Arial" w:hAnsi="Arial"/>
          <w:rtl/>
        </w:rPr>
        <w:t xml:space="preserve"> ונשמרו עבורם בנאמנות</w:t>
      </w:r>
      <w:r w:rsidR="000E2570">
        <w:rPr>
          <w:rFonts w:ascii="Arial" w:hAnsi="Arial" w:hint="cs"/>
          <w:rtl/>
        </w:rPr>
        <w:t>.</w:t>
      </w:r>
      <w:r>
        <w:rPr>
          <w:rFonts w:ascii="Arial" w:hAnsi="Arial"/>
          <w:rtl/>
        </w:rPr>
        <w:t xml:space="preserve">   </w:t>
      </w:r>
    </w:p>
    <w:p w:rsidR="0071081D" w:rsidRDefault="0071081D" w:rsidP="0071081D">
      <w:pPr>
        <w:spacing w:line="300" w:lineRule="atLeast"/>
        <w:ind w:left="1440"/>
        <w:jc w:val="both"/>
        <w:rPr>
          <w:sz w:val="12"/>
          <w:szCs w:val="12"/>
        </w:rPr>
      </w:pPr>
    </w:p>
    <w:p w:rsidR="0071081D" w:rsidRDefault="0071081D" w:rsidP="0071081D">
      <w:pPr>
        <w:spacing w:after="120" w:line="360" w:lineRule="auto"/>
        <w:contextualSpacing/>
        <w:jc w:val="both"/>
        <w:rPr>
          <w:rFonts w:ascii="Calibri" w:hAnsi="Calibri"/>
          <w:noProof w:val="0"/>
          <w:rtl/>
        </w:rPr>
      </w:pPr>
      <w:r>
        <w:rPr>
          <w:rFonts w:ascii="Calibri" w:hAnsi="Calibri"/>
          <w:b/>
          <w:bCs/>
          <w:noProof w:val="0"/>
          <w:u w:val="single"/>
          <w:rtl/>
        </w:rPr>
        <w:t>מן הכלל אל הפרט, לענייננו</w:t>
      </w:r>
      <w:r>
        <w:rPr>
          <w:rFonts w:ascii="Calibri" w:hAnsi="Calibri"/>
          <w:noProof w:val="0"/>
          <w:rtl/>
        </w:rPr>
        <w:t xml:space="preserve">: </w:t>
      </w:r>
    </w:p>
    <w:p w:rsidR="0071081D" w:rsidRDefault="0071081D" w:rsidP="0071081D">
      <w:pPr>
        <w:spacing w:after="120" w:line="360" w:lineRule="auto"/>
        <w:ind w:left="720"/>
        <w:contextualSpacing/>
        <w:jc w:val="both"/>
        <w:rPr>
          <w:rFonts w:ascii="Calibri" w:hAnsi="Calibri"/>
          <w:noProof w:val="0"/>
          <w:sz w:val="12"/>
          <w:szCs w:val="12"/>
        </w:rPr>
      </w:pPr>
    </w:p>
    <w:p w:rsidR="0071081D" w:rsidRDefault="0071081D" w:rsidP="0071081D">
      <w:pPr>
        <w:numPr>
          <w:ilvl w:val="0"/>
          <w:numId w:val="1"/>
        </w:numPr>
        <w:spacing w:after="120" w:line="360" w:lineRule="auto"/>
        <w:ind w:hanging="720"/>
        <w:contextualSpacing/>
        <w:jc w:val="both"/>
        <w:rPr>
          <w:rFonts w:ascii="Calibri" w:hAnsi="Calibri"/>
          <w:noProof w:val="0"/>
          <w:sz w:val="12"/>
          <w:szCs w:val="12"/>
        </w:rPr>
      </w:pPr>
      <w:r>
        <w:rPr>
          <w:rFonts w:ascii="Calibri" w:hAnsi="Calibri"/>
          <w:b/>
          <w:bCs/>
          <w:noProof w:val="0"/>
          <w:rtl/>
        </w:rPr>
        <w:t>במקרה דנן, לאחר בחינת מכלול הטענות, המסמכים וכן שמיעת עדויות הצדדים ובחינת מכלול הנתונים, לא שוכנעתי כי התובעים הצליחו להרים את הנטל להוכיח כי גובש בין התובעים לבין מי מהנתבעים הסכם לפיו הכספים שהועברו ע"י התובעים ישמרו בנאמנות עבורם, והכל כמפורט להלן</w:t>
      </w:r>
      <w:r>
        <w:rPr>
          <w:rFonts w:ascii="Calibri" w:hAnsi="Calibri"/>
          <w:noProof w:val="0"/>
          <w:rtl/>
        </w:rPr>
        <w:t>;</w:t>
      </w:r>
    </w:p>
    <w:p w:rsidR="0071081D" w:rsidRDefault="0071081D" w:rsidP="0071081D">
      <w:pPr>
        <w:spacing w:after="120" w:line="360" w:lineRule="auto"/>
        <w:contextualSpacing/>
        <w:jc w:val="both"/>
        <w:rPr>
          <w:rFonts w:ascii="Calibri" w:hAnsi="Calibri"/>
          <w:b/>
          <w:bCs/>
          <w:noProof w:val="0"/>
          <w:sz w:val="12"/>
          <w:szCs w:val="12"/>
        </w:rPr>
      </w:pPr>
    </w:p>
    <w:p w:rsidR="0071081D" w:rsidRDefault="0071081D" w:rsidP="0071081D">
      <w:pPr>
        <w:spacing w:after="120" w:line="360" w:lineRule="auto"/>
        <w:contextualSpacing/>
        <w:jc w:val="both"/>
        <w:rPr>
          <w:rFonts w:ascii="Calibri" w:hAnsi="Calibri"/>
          <w:noProof w:val="0"/>
          <w:sz w:val="12"/>
          <w:szCs w:val="12"/>
          <w:rtl/>
        </w:rPr>
      </w:pPr>
      <w:r>
        <w:rPr>
          <w:rFonts w:ascii="Calibri" w:hAnsi="Calibri"/>
          <w:b/>
          <w:bCs/>
          <w:noProof w:val="0"/>
          <w:u w:val="single"/>
          <w:rtl/>
        </w:rPr>
        <w:t>מישור היחסים בין התובעים לנתבעת</w:t>
      </w:r>
      <w:r>
        <w:rPr>
          <w:rFonts w:ascii="Calibri" w:hAnsi="Calibri"/>
          <w:noProof w:val="0"/>
          <w:rtl/>
        </w:rPr>
        <w:t>:</w:t>
      </w:r>
      <w:r>
        <w:rPr>
          <w:rFonts w:ascii="Calibri" w:hAnsi="Calibri"/>
          <w:b/>
          <w:bCs/>
          <w:noProof w:val="0"/>
          <w:rtl/>
        </w:rPr>
        <w:t xml:space="preserve"> </w:t>
      </w:r>
    </w:p>
    <w:p w:rsidR="0071081D" w:rsidRDefault="0071081D" w:rsidP="0071081D">
      <w:pPr>
        <w:spacing w:after="120" w:line="360" w:lineRule="auto"/>
        <w:ind w:left="720"/>
        <w:contextualSpacing/>
        <w:jc w:val="both"/>
        <w:rPr>
          <w:rFonts w:ascii="Calibri" w:hAnsi="Calibri"/>
          <w:noProof w:val="0"/>
          <w:sz w:val="12"/>
          <w:szCs w:val="12"/>
        </w:rPr>
      </w:pPr>
    </w:p>
    <w:p w:rsidR="0071081D" w:rsidRDefault="0071081D" w:rsidP="000E2570">
      <w:pPr>
        <w:numPr>
          <w:ilvl w:val="0"/>
          <w:numId w:val="1"/>
        </w:numPr>
        <w:spacing w:after="120" w:line="360" w:lineRule="auto"/>
        <w:ind w:hanging="720"/>
        <w:contextualSpacing/>
        <w:jc w:val="both"/>
        <w:rPr>
          <w:rFonts w:ascii="Calibri" w:hAnsi="Calibri"/>
          <w:noProof w:val="0"/>
        </w:rPr>
      </w:pPr>
      <w:r>
        <w:rPr>
          <w:rFonts w:ascii="Calibri" w:hAnsi="Calibri"/>
          <w:noProof w:val="0"/>
          <w:rtl/>
        </w:rPr>
        <w:t>התובעים אישרו כי מעולם לא גובש ביניהם לבין התובעת הסכם כל שהוא בקשר לשמירת כספיהם בנאמנות כל שכן הסכם משתמע. בנוסף, אישרו התובעים כי מעולם לא שוחחו עם הנתבעת על הפקדת כספי הנאמנות וכי הפעם הראשונה שנעשתה פניה מטעמם היתה ע"י התובע בלבד וזאת לאחר פרוץ הסכסוך בין בני הזוג בשנת 2019 עת התובע שלח הודעה לנתבעת (ר' עדות התובע בעמ' 41, ש' 13- עמ' 42, ש' 3 לפרוט' 18.5.21). הן בתצהיריהם והן בחקירתם לא טענו התובעים כי היתה קיימת הסכמה ישירה שלהם מול הנתבעת לפיה הם מפקידים כספים שלהם בידי הנתבע ו/או בידיה</w:t>
      </w:r>
      <w:r w:rsidR="000E2570">
        <w:rPr>
          <w:rFonts w:ascii="Calibri" w:hAnsi="Calibri" w:hint="cs"/>
          <w:noProof w:val="0"/>
          <w:rtl/>
        </w:rPr>
        <w:t xml:space="preserve">, כך שטענת הנאמנות המפורשת כלפיה </w:t>
      </w:r>
      <w:r w:rsidR="000E2570">
        <w:rPr>
          <w:rFonts w:ascii="Calibri" w:hAnsi="Calibri"/>
          <w:noProof w:val="0"/>
          <w:rtl/>
        </w:rPr>
        <w:t>–</w:t>
      </w:r>
      <w:r w:rsidR="000E2570">
        <w:rPr>
          <w:rFonts w:ascii="Calibri" w:hAnsi="Calibri" w:hint="cs"/>
          <w:noProof w:val="0"/>
          <w:rtl/>
        </w:rPr>
        <w:t xml:space="preserve"> דינה להידחות. </w:t>
      </w:r>
      <w:r>
        <w:rPr>
          <w:rFonts w:ascii="Calibri" w:hAnsi="Calibri"/>
          <w:noProof w:val="0"/>
          <w:rtl/>
        </w:rPr>
        <w:t xml:space="preserve"> </w:t>
      </w:r>
    </w:p>
    <w:p w:rsidR="0071081D" w:rsidRDefault="0071081D" w:rsidP="0071081D">
      <w:pPr>
        <w:pStyle w:val="af"/>
        <w:rPr>
          <w:rFonts w:ascii="Calibri" w:hAnsi="Calibri"/>
          <w:noProof w:val="0"/>
          <w:sz w:val="12"/>
          <w:szCs w:val="12"/>
        </w:rPr>
      </w:pPr>
    </w:p>
    <w:p w:rsidR="0071081D" w:rsidRDefault="0071081D" w:rsidP="000E2570">
      <w:pPr>
        <w:numPr>
          <w:ilvl w:val="0"/>
          <w:numId w:val="1"/>
        </w:numPr>
        <w:spacing w:after="120" w:line="360" w:lineRule="auto"/>
        <w:ind w:hanging="720"/>
        <w:contextualSpacing/>
        <w:jc w:val="both"/>
        <w:rPr>
          <w:rFonts w:ascii="Calibri" w:hAnsi="Calibri"/>
          <w:noProof w:val="0"/>
          <w:rtl/>
        </w:rPr>
      </w:pPr>
      <w:r>
        <w:rPr>
          <w:rFonts w:ascii="Calibri" w:hAnsi="Calibri"/>
          <w:noProof w:val="0"/>
          <w:rtl/>
        </w:rPr>
        <w:t xml:space="preserve">עם זאת, מאחר שהסכם נאמנות יכול להיות גם משתמע, אזי יש לבחון האם התנהלות הצדדים מלמדת על קיומו של הסכם נאמנות </w:t>
      </w:r>
      <w:r w:rsidR="000E2570">
        <w:rPr>
          <w:rFonts w:ascii="Calibri" w:hAnsi="Calibri" w:hint="cs"/>
          <w:noProof w:val="0"/>
          <w:rtl/>
        </w:rPr>
        <w:t xml:space="preserve">משתמעת </w:t>
      </w:r>
      <w:r>
        <w:rPr>
          <w:rFonts w:ascii="Calibri" w:hAnsi="Calibri"/>
          <w:noProof w:val="0"/>
          <w:rtl/>
        </w:rPr>
        <w:t xml:space="preserve">בין התובעים לבין הנתבעת. במקרה דנן, לאחר בחינת מכלול הנתונים לא מצאתי כי התובעים הצליחו להרים את הנטל להוכיח טענה זו, ואפרט: </w:t>
      </w:r>
    </w:p>
    <w:p w:rsidR="0071081D" w:rsidRDefault="0071081D" w:rsidP="0071081D">
      <w:pPr>
        <w:pStyle w:val="af"/>
        <w:rPr>
          <w:rFonts w:ascii="Calibri" w:hAnsi="Calibri"/>
          <w:noProof w:val="0"/>
          <w:sz w:val="12"/>
          <w:szCs w:val="12"/>
        </w:rPr>
      </w:pPr>
    </w:p>
    <w:p w:rsidR="0071081D" w:rsidRDefault="0071081D" w:rsidP="0071081D">
      <w:pPr>
        <w:numPr>
          <w:ilvl w:val="0"/>
          <w:numId w:val="1"/>
        </w:numPr>
        <w:spacing w:after="120" w:line="360" w:lineRule="auto"/>
        <w:ind w:hanging="720"/>
        <w:contextualSpacing/>
        <w:jc w:val="both"/>
        <w:rPr>
          <w:rFonts w:ascii="Calibri" w:hAnsi="Calibri"/>
          <w:noProof w:val="0"/>
          <w:rtl/>
        </w:rPr>
      </w:pPr>
      <w:r>
        <w:rPr>
          <w:rFonts w:ascii="Calibri" w:hAnsi="Calibri"/>
          <w:noProof w:val="0"/>
          <w:rtl/>
        </w:rPr>
        <w:lastRenderedPageBreak/>
        <w:t>הנתבעת העידה כי הנתבע אמר לה לפני שנים רבות כי אחיו התובע צריך להכניס כספים לחשבון הבנק שלו בגלל שנכנס לכלא וכן התובעת בגלל שהיא בסכסוך עם בעלה, אולם בפועל היא לא היתה ראתה דבר אלא נסמכה על דבריו של הנתבע</w:t>
      </w:r>
      <w:r w:rsidR="000E2570">
        <w:rPr>
          <w:rFonts w:ascii="Calibri" w:hAnsi="Calibri" w:hint="cs"/>
          <w:noProof w:val="0"/>
          <w:rtl/>
        </w:rPr>
        <w:t xml:space="preserve"> בלבד</w:t>
      </w:r>
      <w:r>
        <w:rPr>
          <w:rFonts w:ascii="Calibri" w:hAnsi="Calibri"/>
          <w:noProof w:val="0"/>
          <w:rtl/>
        </w:rPr>
        <w:t xml:space="preserve">. בנוסף העידה הנתבעת כי כלל לא ידעה שהנתבע העביר כספים לחשבון המשותף וכי אינה יודעת האם מדובר בכספים של התובעים שכן לחשבון הבנק הזה נכנסו כספים משותפים ואף הוצאו הוצאות לטובת הבית והמשפחה. כך מתוך עדותה: </w:t>
      </w:r>
    </w:p>
    <w:p w:rsidR="0071081D" w:rsidRDefault="0071081D" w:rsidP="0071081D">
      <w:pPr>
        <w:pStyle w:val="af"/>
        <w:ind w:left="0"/>
        <w:rPr>
          <w:rFonts w:ascii="Calibri" w:hAnsi="Calibri"/>
          <w:noProof w:val="0"/>
        </w:rPr>
      </w:pPr>
    </w:p>
    <w:p w:rsidR="0071081D" w:rsidRDefault="0071081D" w:rsidP="0071081D">
      <w:pPr>
        <w:pStyle w:val="ad"/>
        <w:shd w:val="clear" w:color="auto" w:fill="auto"/>
        <w:spacing w:line="300" w:lineRule="atLeast"/>
        <w:ind w:left="2880" w:hanging="2160"/>
        <w:jc w:val="both"/>
        <w:rPr>
          <w:rFonts w:ascii="Arial" w:hAnsi="Arial" w:cs="David"/>
          <w:sz w:val="24"/>
          <w:szCs w:val="24"/>
          <w:u w:val="none"/>
          <w:rtl/>
        </w:rPr>
      </w:pPr>
      <w:r>
        <w:rPr>
          <w:rFonts w:ascii="Arial" w:hAnsi="Arial" w:cs="David"/>
          <w:b w:val="0"/>
          <w:bCs w:val="0"/>
          <w:sz w:val="24"/>
          <w:szCs w:val="24"/>
          <w:u w:val="none"/>
          <w:rtl/>
        </w:rPr>
        <w:t>"</w:t>
      </w:r>
      <w:r>
        <w:rPr>
          <w:rFonts w:ascii="Arial" w:hAnsi="Arial" w:cs="David"/>
          <w:sz w:val="24"/>
          <w:szCs w:val="24"/>
          <w:u w:val="none"/>
          <w:rtl/>
        </w:rPr>
        <w:t>ביהמ"ש:</w:t>
      </w:r>
      <w:r>
        <w:rPr>
          <w:rFonts w:ascii="Arial" w:hAnsi="Arial" w:cs="David"/>
          <w:sz w:val="24"/>
          <w:szCs w:val="24"/>
          <w:u w:val="none"/>
          <w:rtl/>
        </w:rPr>
        <w:tab/>
        <w:t>אז איך את</w:t>
      </w:r>
      <w:bookmarkStart w:id="1" w:name="_ETM_Q_1002874"/>
      <w:bookmarkEnd w:id="1"/>
      <w:r>
        <w:rPr>
          <w:rFonts w:ascii="Arial" w:hAnsi="Arial" w:cs="David"/>
          <w:sz w:val="24"/>
          <w:szCs w:val="24"/>
          <w:u w:val="none"/>
          <w:rtl/>
        </w:rPr>
        <w:t xml:space="preserve"> יודעת שהכספים האלה הם לא שייכים באמת לאחים? איך את יודעת את זה? זו השאלה, זה מה שהוא מנסה לשאול,</w:t>
      </w:r>
    </w:p>
    <w:p w:rsidR="0071081D" w:rsidRDefault="0071081D" w:rsidP="0071081D">
      <w:pPr>
        <w:pStyle w:val="ad"/>
        <w:shd w:val="clear" w:color="auto" w:fill="auto"/>
        <w:spacing w:line="300" w:lineRule="atLeast"/>
        <w:ind w:left="2880" w:hanging="2160"/>
        <w:jc w:val="both"/>
        <w:rPr>
          <w:rFonts w:ascii="Arial" w:hAnsi="Arial" w:cs="David"/>
          <w:sz w:val="24"/>
          <w:szCs w:val="24"/>
          <w:u w:val="none"/>
        </w:rPr>
      </w:pPr>
      <w:bookmarkStart w:id="2" w:name="_ETM_Q_1007771"/>
      <w:bookmarkEnd w:id="2"/>
      <w:r>
        <w:rPr>
          <w:rFonts w:ascii="Arial" w:hAnsi="Arial" w:cs="David"/>
          <w:sz w:val="24"/>
          <w:szCs w:val="24"/>
          <w:u w:val="none"/>
          <w:rtl/>
        </w:rPr>
        <w:t>ת:</w:t>
      </w:r>
      <w:r>
        <w:rPr>
          <w:rFonts w:ascii="Arial" w:hAnsi="Arial" w:cs="David"/>
          <w:sz w:val="24"/>
          <w:szCs w:val="24"/>
          <w:u w:val="none"/>
          <w:rtl/>
        </w:rPr>
        <w:tab/>
        <w:t>איך אני יודעת שלא שייכים? אז,</w:t>
      </w:r>
      <w:bookmarkStart w:id="3" w:name="_ETM_Q_1011439"/>
      <w:bookmarkEnd w:id="3"/>
      <w:r>
        <w:rPr>
          <w:rFonts w:ascii="Arial" w:hAnsi="Arial" w:cs="David"/>
          <w:sz w:val="24"/>
          <w:szCs w:val="24"/>
          <w:u w:val="none"/>
          <w:rtl/>
        </w:rPr>
        <w:t xml:space="preserve"> מה שאני מנסה להבהיר שאני לא, שבזמנו הוא אמר לי אז שהאח, אני לא יודעת, זה היה היום לפני המון המון שנים, </w:t>
      </w:r>
      <w:bookmarkStart w:id="4" w:name="_ETM_Q_1019586"/>
      <w:bookmarkEnd w:id="4"/>
    </w:p>
    <w:p w:rsidR="0071081D" w:rsidRDefault="0071081D" w:rsidP="0071081D">
      <w:pPr>
        <w:pStyle w:val="ad"/>
        <w:shd w:val="clear" w:color="auto" w:fill="auto"/>
        <w:spacing w:line="300" w:lineRule="atLeast"/>
        <w:ind w:left="2880" w:hanging="2160"/>
        <w:jc w:val="both"/>
        <w:rPr>
          <w:rFonts w:ascii="Arial" w:hAnsi="Arial" w:cs="David"/>
          <w:sz w:val="24"/>
          <w:szCs w:val="24"/>
          <w:u w:val="none"/>
          <w:rtl/>
        </w:rPr>
      </w:pPr>
      <w:r>
        <w:rPr>
          <w:rFonts w:ascii="Arial" w:hAnsi="Arial" w:cs="David"/>
          <w:sz w:val="24"/>
          <w:szCs w:val="24"/>
          <w:u w:val="none"/>
          <w:rtl/>
        </w:rPr>
        <w:t>ביהמ"ש:</w:t>
      </w:r>
      <w:r>
        <w:rPr>
          <w:rFonts w:ascii="Arial" w:hAnsi="Arial" w:cs="David"/>
          <w:sz w:val="24"/>
          <w:szCs w:val="24"/>
          <w:u w:val="none"/>
          <w:rtl/>
        </w:rPr>
        <w:tab/>
        <w:t>כן,</w:t>
      </w:r>
    </w:p>
    <w:p w:rsidR="0071081D" w:rsidRDefault="0071081D" w:rsidP="0071081D">
      <w:pPr>
        <w:pStyle w:val="ad"/>
        <w:shd w:val="clear" w:color="auto" w:fill="auto"/>
        <w:spacing w:line="300" w:lineRule="atLeast"/>
        <w:ind w:left="2880" w:hanging="2160"/>
        <w:jc w:val="both"/>
        <w:rPr>
          <w:rFonts w:ascii="Arial" w:hAnsi="Arial" w:cs="David"/>
          <w:sz w:val="24"/>
          <w:szCs w:val="24"/>
          <w:u w:val="none"/>
          <w:rtl/>
        </w:rPr>
      </w:pPr>
      <w:r>
        <w:rPr>
          <w:rFonts w:ascii="Arial" w:hAnsi="Arial" w:cs="David"/>
          <w:sz w:val="24"/>
          <w:szCs w:val="24"/>
          <w:u w:val="none"/>
          <w:rtl/>
        </w:rPr>
        <w:t>ת:</w:t>
      </w:r>
      <w:r>
        <w:rPr>
          <w:rFonts w:ascii="Arial" w:hAnsi="Arial" w:cs="David"/>
          <w:sz w:val="24"/>
          <w:szCs w:val="24"/>
          <w:u w:val="none"/>
          <w:rtl/>
        </w:rPr>
        <w:tab/>
        <w:t>אני כבר לא זוכרת</w:t>
      </w:r>
      <w:bookmarkStart w:id="5" w:name="_ETM_Q_1019516"/>
      <w:bookmarkEnd w:id="5"/>
      <w:r>
        <w:rPr>
          <w:rFonts w:ascii="Arial" w:hAnsi="Arial" w:cs="David"/>
          <w:sz w:val="24"/>
          <w:szCs w:val="24"/>
          <w:u w:val="none"/>
          <w:rtl/>
        </w:rPr>
        <w:t xml:space="preserve"> אולי 2007, לא יודעת מתי,</w:t>
      </w:r>
      <w:bookmarkStart w:id="6" w:name="_ETM_Q_1021148"/>
      <w:bookmarkEnd w:id="6"/>
      <w:r>
        <w:rPr>
          <w:rFonts w:ascii="Arial" w:hAnsi="Arial" w:cs="David"/>
          <w:sz w:val="24"/>
          <w:szCs w:val="24"/>
          <w:u w:val="none"/>
          <w:rtl/>
        </w:rPr>
        <w:t xml:space="preserve"> הוא זרק כזה, הוא רק אמר אח שלי צריך להכניס 100,000 שקל, זה מה ששמעתי, על האחות שמעתי שגם שצריכה להכניס איזה סכום, זה היה אחרי זה, לא יודעת מתי זה היה, אבל הוא בעצם אמר לי, בפועל לא ראיתי מישהו שהראה לי נכנס </w:t>
      </w:r>
      <w:bookmarkStart w:id="7" w:name="_ETM_Q_1037660"/>
      <w:bookmarkEnd w:id="7"/>
      <w:r>
        <w:rPr>
          <w:rFonts w:ascii="Arial" w:hAnsi="Arial" w:cs="David"/>
          <w:sz w:val="24"/>
          <w:szCs w:val="24"/>
          <w:u w:val="none"/>
          <w:rtl/>
        </w:rPr>
        <w:t>כסף,</w:t>
      </w:r>
      <w:bookmarkStart w:id="8" w:name="_ETM_Q_1038444"/>
      <w:bookmarkEnd w:id="8"/>
    </w:p>
    <w:p w:rsidR="0071081D" w:rsidRDefault="0071081D" w:rsidP="0071081D">
      <w:pPr>
        <w:pStyle w:val="ad"/>
        <w:shd w:val="clear" w:color="auto" w:fill="auto"/>
        <w:spacing w:line="300" w:lineRule="atLeast"/>
        <w:ind w:left="2880" w:hanging="2160"/>
        <w:jc w:val="both"/>
        <w:rPr>
          <w:rFonts w:ascii="Arial" w:hAnsi="Arial" w:cs="David"/>
          <w:sz w:val="24"/>
          <w:szCs w:val="24"/>
          <w:u w:val="none"/>
          <w:rtl/>
        </w:rPr>
      </w:pPr>
      <w:r>
        <w:rPr>
          <w:rFonts w:ascii="Arial" w:hAnsi="Arial" w:cs="David"/>
          <w:sz w:val="24"/>
          <w:szCs w:val="24"/>
          <w:u w:val="none"/>
          <w:rtl/>
        </w:rPr>
        <w:t>ביהמ"ש:</w:t>
      </w:r>
      <w:r>
        <w:rPr>
          <w:rFonts w:ascii="Arial" w:hAnsi="Arial" w:cs="David"/>
          <w:sz w:val="24"/>
          <w:szCs w:val="24"/>
          <w:u w:val="none"/>
          <w:rtl/>
        </w:rPr>
        <w:tab/>
        <w:t>ולמה הם צריכים להכניס?</w:t>
      </w:r>
    </w:p>
    <w:p w:rsidR="0071081D" w:rsidRDefault="0071081D" w:rsidP="0071081D">
      <w:pPr>
        <w:pStyle w:val="ad"/>
        <w:shd w:val="clear" w:color="auto" w:fill="auto"/>
        <w:spacing w:line="300" w:lineRule="atLeast"/>
        <w:ind w:left="2880" w:hanging="2160"/>
        <w:jc w:val="both"/>
        <w:rPr>
          <w:rFonts w:ascii="Arial" w:hAnsi="Arial" w:cs="David"/>
          <w:sz w:val="24"/>
          <w:szCs w:val="24"/>
          <w:u w:val="none"/>
          <w:rtl/>
        </w:rPr>
      </w:pPr>
      <w:r>
        <w:rPr>
          <w:rFonts w:ascii="Arial" w:hAnsi="Arial" w:cs="David"/>
          <w:sz w:val="24"/>
          <w:szCs w:val="24"/>
          <w:u w:val="none"/>
          <w:rtl/>
        </w:rPr>
        <w:t>ת:</w:t>
      </w:r>
      <w:r>
        <w:rPr>
          <w:rFonts w:ascii="Arial" w:hAnsi="Arial" w:cs="David"/>
          <w:sz w:val="24"/>
          <w:szCs w:val="24"/>
          <w:u w:val="none"/>
          <w:rtl/>
        </w:rPr>
        <w:tab/>
        <w:t>כי בעצם הוא,</w:t>
      </w:r>
    </w:p>
    <w:p w:rsidR="0071081D" w:rsidRDefault="0071081D" w:rsidP="0071081D">
      <w:pPr>
        <w:pStyle w:val="ad"/>
        <w:shd w:val="clear" w:color="auto" w:fill="auto"/>
        <w:spacing w:line="300" w:lineRule="atLeast"/>
        <w:ind w:left="2880" w:hanging="2160"/>
        <w:jc w:val="both"/>
        <w:rPr>
          <w:rFonts w:ascii="Arial" w:hAnsi="Arial" w:cs="David"/>
          <w:sz w:val="24"/>
          <w:szCs w:val="24"/>
          <w:u w:val="none"/>
          <w:rtl/>
        </w:rPr>
      </w:pPr>
      <w:bookmarkStart w:id="9" w:name="_ETM_Q_1040517"/>
      <w:bookmarkEnd w:id="9"/>
      <w:r>
        <w:rPr>
          <w:rFonts w:ascii="Arial" w:hAnsi="Arial" w:cs="David"/>
          <w:sz w:val="24"/>
          <w:szCs w:val="24"/>
          <w:u w:val="none"/>
          <w:rtl/>
        </w:rPr>
        <w:t>ביהמ"ש:</w:t>
      </w:r>
      <w:r>
        <w:rPr>
          <w:rFonts w:ascii="Arial" w:hAnsi="Arial" w:cs="David"/>
          <w:sz w:val="24"/>
          <w:szCs w:val="24"/>
          <w:u w:val="none"/>
          <w:rtl/>
        </w:rPr>
        <w:tab/>
        <w:t>מה</w:t>
      </w:r>
      <w:bookmarkStart w:id="10" w:name="_ETM_Q_1041326"/>
      <w:bookmarkEnd w:id="10"/>
      <w:r>
        <w:rPr>
          <w:rFonts w:ascii="Arial" w:hAnsi="Arial" w:cs="David"/>
          <w:sz w:val="24"/>
          <w:szCs w:val="24"/>
          <w:u w:val="none"/>
          <w:rtl/>
        </w:rPr>
        <w:t xml:space="preserve"> הוא אמר שהם צריכים להכניס?</w:t>
      </w:r>
      <w:bookmarkStart w:id="11" w:name="_ETM_Q_1042606"/>
      <w:bookmarkEnd w:id="11"/>
      <w:r>
        <w:rPr>
          <w:rFonts w:ascii="Arial" w:hAnsi="Arial" w:cs="David"/>
          <w:sz w:val="24"/>
          <w:szCs w:val="24"/>
          <w:u w:val="none"/>
          <w:rtl/>
        </w:rPr>
        <w:t xml:space="preserve"> למה? לצורך מה? סתם להכניס כספים?</w:t>
      </w:r>
    </w:p>
    <w:p w:rsidR="0071081D" w:rsidRDefault="0071081D" w:rsidP="0071081D">
      <w:pPr>
        <w:pStyle w:val="ad"/>
        <w:shd w:val="clear" w:color="auto" w:fill="auto"/>
        <w:spacing w:line="300" w:lineRule="atLeast"/>
        <w:ind w:left="2880" w:hanging="2160"/>
        <w:jc w:val="both"/>
        <w:rPr>
          <w:rFonts w:ascii="Arial" w:hAnsi="Arial" w:cs="David"/>
          <w:sz w:val="24"/>
          <w:szCs w:val="24"/>
          <w:u w:val="none"/>
          <w:rtl/>
        </w:rPr>
      </w:pPr>
      <w:r>
        <w:rPr>
          <w:rFonts w:ascii="Arial" w:hAnsi="Arial" w:cs="David"/>
          <w:sz w:val="24"/>
          <w:szCs w:val="24"/>
          <w:u w:val="none"/>
          <w:rtl/>
        </w:rPr>
        <w:t>ת:</w:t>
      </w:r>
      <w:r>
        <w:rPr>
          <w:rFonts w:ascii="Arial" w:hAnsi="Arial" w:cs="David"/>
          <w:sz w:val="24"/>
          <w:szCs w:val="24"/>
          <w:u w:val="none"/>
          <w:rtl/>
        </w:rPr>
        <w:tab/>
        <w:t>לא, אני יודעת, הוא אמר כאילו, לא</w:t>
      </w:r>
      <w:bookmarkStart w:id="12" w:name="_ETM_Q_1049136"/>
      <w:bookmarkEnd w:id="12"/>
      <w:r>
        <w:rPr>
          <w:rFonts w:ascii="Arial" w:hAnsi="Arial" w:cs="David"/>
          <w:sz w:val="24"/>
          <w:szCs w:val="24"/>
          <w:u w:val="none"/>
          <w:rtl/>
        </w:rPr>
        <w:t xml:space="preserve"> יודעת, האח בכלא, אני לא יודעת, אבל מה שאני בעצם אומרת, ועל אחותו שכאילו היא בסכסוך עם בעלה, זה</w:t>
      </w:r>
      <w:bookmarkStart w:id="13" w:name="_ETM_Q_1055288"/>
      <w:bookmarkEnd w:id="13"/>
      <w:r>
        <w:rPr>
          <w:rFonts w:ascii="Arial" w:hAnsi="Arial" w:cs="David"/>
          <w:sz w:val="24"/>
          <w:szCs w:val="24"/>
          <w:u w:val="none"/>
          <w:rtl/>
        </w:rPr>
        <w:t xml:space="preserve"> מה שבעצם הם דיברו איתו פה,</w:t>
      </w:r>
      <w:bookmarkStart w:id="14" w:name="_ETM_Q_1056877"/>
      <w:bookmarkEnd w:id="14"/>
    </w:p>
    <w:p w:rsidR="0071081D" w:rsidRDefault="0071081D" w:rsidP="0071081D">
      <w:pPr>
        <w:pStyle w:val="ad"/>
        <w:shd w:val="clear" w:color="auto" w:fill="auto"/>
        <w:spacing w:line="300" w:lineRule="atLeast"/>
        <w:ind w:left="2880" w:hanging="2160"/>
        <w:jc w:val="both"/>
        <w:rPr>
          <w:rFonts w:ascii="Arial" w:hAnsi="Arial" w:cs="David"/>
          <w:sz w:val="24"/>
          <w:szCs w:val="24"/>
          <w:u w:val="none"/>
          <w:rtl/>
        </w:rPr>
      </w:pPr>
      <w:r>
        <w:rPr>
          <w:rFonts w:ascii="Arial" w:hAnsi="Arial" w:cs="David"/>
          <w:sz w:val="24"/>
          <w:szCs w:val="24"/>
          <w:u w:val="none"/>
          <w:rtl/>
        </w:rPr>
        <w:t>ביהמ"ש:</w:t>
      </w:r>
      <w:r>
        <w:rPr>
          <w:rFonts w:ascii="Arial" w:hAnsi="Arial" w:cs="David"/>
          <w:sz w:val="24"/>
          <w:szCs w:val="24"/>
          <w:u w:val="none"/>
          <w:rtl/>
        </w:rPr>
        <w:tab/>
        <w:t>כן,</w:t>
      </w:r>
    </w:p>
    <w:p w:rsidR="0071081D" w:rsidRDefault="0071081D" w:rsidP="0071081D">
      <w:pPr>
        <w:pStyle w:val="ad"/>
        <w:shd w:val="clear" w:color="auto" w:fill="auto"/>
        <w:spacing w:line="300" w:lineRule="atLeast"/>
        <w:ind w:left="2880" w:hanging="2160"/>
        <w:jc w:val="both"/>
        <w:rPr>
          <w:rFonts w:ascii="Arial" w:hAnsi="Arial" w:cs="David"/>
          <w:sz w:val="24"/>
          <w:szCs w:val="24"/>
          <w:u w:val="none"/>
          <w:rtl/>
        </w:rPr>
      </w:pPr>
      <w:bookmarkStart w:id="15" w:name="_ETM_Q_1058158"/>
      <w:bookmarkEnd w:id="15"/>
      <w:r>
        <w:rPr>
          <w:rFonts w:ascii="Arial" w:hAnsi="Arial" w:cs="David"/>
          <w:sz w:val="24"/>
          <w:szCs w:val="24"/>
          <w:u w:val="none"/>
          <w:rtl/>
        </w:rPr>
        <w:t>ת:</w:t>
      </w:r>
      <w:r>
        <w:rPr>
          <w:rFonts w:ascii="Arial" w:hAnsi="Arial" w:cs="David"/>
          <w:sz w:val="24"/>
          <w:szCs w:val="24"/>
          <w:u w:val="none"/>
          <w:rtl/>
        </w:rPr>
        <w:tab/>
        <w:t>אבל בפועל לא ראיתי משהו, לא ראיתי מסמך, הנה הכניסו כסף,</w:t>
      </w:r>
    </w:p>
    <w:p w:rsidR="0071081D" w:rsidRDefault="0071081D" w:rsidP="0071081D">
      <w:pPr>
        <w:pStyle w:val="ad"/>
        <w:shd w:val="clear" w:color="auto" w:fill="auto"/>
        <w:spacing w:line="300" w:lineRule="atLeast"/>
        <w:ind w:left="2880" w:hanging="2160"/>
        <w:jc w:val="both"/>
        <w:rPr>
          <w:rFonts w:ascii="Arial" w:hAnsi="Arial" w:cs="David"/>
          <w:sz w:val="24"/>
          <w:szCs w:val="24"/>
          <w:u w:val="none"/>
          <w:rtl/>
        </w:rPr>
      </w:pPr>
      <w:bookmarkStart w:id="16" w:name="_ETM_Q_1060547"/>
      <w:bookmarkEnd w:id="16"/>
      <w:r>
        <w:rPr>
          <w:rFonts w:ascii="Arial" w:hAnsi="Arial" w:cs="David"/>
          <w:sz w:val="24"/>
          <w:szCs w:val="24"/>
          <w:u w:val="none"/>
          <w:rtl/>
        </w:rPr>
        <w:t>ביהמ"ש:</w:t>
      </w:r>
      <w:r>
        <w:rPr>
          <w:rFonts w:ascii="Arial" w:hAnsi="Arial" w:cs="David"/>
          <w:sz w:val="24"/>
          <w:szCs w:val="24"/>
          <w:u w:val="none"/>
          <w:rtl/>
        </w:rPr>
        <w:tab/>
        <w:t>כן,</w:t>
      </w:r>
    </w:p>
    <w:p w:rsidR="0071081D" w:rsidRDefault="0071081D" w:rsidP="0071081D">
      <w:pPr>
        <w:pStyle w:val="ad"/>
        <w:shd w:val="clear" w:color="auto" w:fill="auto"/>
        <w:spacing w:line="300" w:lineRule="atLeast"/>
        <w:ind w:left="2880" w:hanging="2160"/>
        <w:jc w:val="both"/>
        <w:rPr>
          <w:rFonts w:ascii="Arial" w:hAnsi="Arial" w:cs="David"/>
          <w:sz w:val="24"/>
          <w:szCs w:val="24"/>
          <w:u w:val="none"/>
          <w:rtl/>
        </w:rPr>
      </w:pPr>
      <w:bookmarkStart w:id="17" w:name="_ETM_Q_1062611"/>
      <w:bookmarkEnd w:id="17"/>
      <w:r>
        <w:rPr>
          <w:rFonts w:ascii="Arial" w:hAnsi="Arial" w:cs="David"/>
          <w:sz w:val="24"/>
          <w:szCs w:val="24"/>
          <w:u w:val="none"/>
          <w:rtl/>
        </w:rPr>
        <w:t>ת:</w:t>
      </w:r>
      <w:r>
        <w:rPr>
          <w:rFonts w:ascii="Arial" w:hAnsi="Arial" w:cs="David"/>
          <w:sz w:val="24"/>
          <w:szCs w:val="24"/>
          <w:u w:val="none"/>
          <w:rtl/>
        </w:rPr>
        <w:tab/>
        <w:t>הנה, הוא רק אמר לפני המון שנים שהם מכניסים, צריכים להכניס, אני לא זוכרת מה</w:t>
      </w:r>
      <w:bookmarkStart w:id="18" w:name="_ETM_Q_1068620"/>
      <w:bookmarkEnd w:id="18"/>
      <w:r>
        <w:rPr>
          <w:rFonts w:ascii="Arial" w:hAnsi="Arial" w:cs="David"/>
          <w:sz w:val="24"/>
          <w:szCs w:val="24"/>
          <w:u w:val="none"/>
          <w:rtl/>
        </w:rPr>
        <w:t xml:space="preserve"> היה שם בדיוק, אבל זה מה שהוא אמר,</w:t>
      </w:r>
    </w:p>
    <w:p w:rsidR="0071081D" w:rsidRDefault="0071081D" w:rsidP="0071081D">
      <w:pPr>
        <w:pStyle w:val="ad"/>
        <w:shd w:val="clear" w:color="auto" w:fill="auto"/>
        <w:spacing w:line="300" w:lineRule="atLeast"/>
        <w:ind w:left="2880" w:hanging="2160"/>
        <w:jc w:val="both"/>
        <w:rPr>
          <w:rFonts w:ascii="Arial" w:hAnsi="Arial" w:cs="David"/>
          <w:sz w:val="24"/>
          <w:szCs w:val="24"/>
          <w:u w:val="none"/>
          <w:rtl/>
        </w:rPr>
      </w:pPr>
      <w:r>
        <w:rPr>
          <w:rFonts w:ascii="Arial" w:hAnsi="Arial" w:cs="David"/>
          <w:sz w:val="24"/>
          <w:szCs w:val="24"/>
          <w:u w:val="none"/>
          <w:rtl/>
        </w:rPr>
        <w:t>ביהמ"ש:</w:t>
      </w:r>
      <w:r>
        <w:rPr>
          <w:rFonts w:ascii="Arial" w:hAnsi="Arial" w:cs="David"/>
          <w:sz w:val="24"/>
          <w:szCs w:val="24"/>
          <w:u w:val="none"/>
          <w:rtl/>
        </w:rPr>
        <w:tab/>
        <w:t>אוקיי,</w:t>
      </w:r>
    </w:p>
    <w:p w:rsidR="0071081D" w:rsidRDefault="0071081D" w:rsidP="0071081D">
      <w:pPr>
        <w:pStyle w:val="ad"/>
        <w:shd w:val="clear" w:color="auto" w:fill="auto"/>
        <w:spacing w:line="300" w:lineRule="atLeast"/>
        <w:ind w:left="2880" w:hanging="2160"/>
        <w:jc w:val="both"/>
        <w:rPr>
          <w:rFonts w:ascii="Arial" w:hAnsi="Arial" w:cs="David"/>
          <w:sz w:val="24"/>
          <w:szCs w:val="24"/>
          <w:u w:val="none"/>
          <w:rtl/>
        </w:rPr>
      </w:pPr>
      <w:r>
        <w:rPr>
          <w:rFonts w:ascii="Arial" w:hAnsi="Arial" w:cs="David"/>
          <w:sz w:val="24"/>
          <w:szCs w:val="24"/>
          <w:u w:val="none"/>
          <w:rtl/>
        </w:rPr>
        <w:t>ת:</w:t>
      </w:r>
      <w:r>
        <w:rPr>
          <w:rFonts w:ascii="Arial" w:hAnsi="Arial" w:cs="David"/>
          <w:sz w:val="24"/>
          <w:szCs w:val="24"/>
          <w:u w:val="none"/>
          <w:rtl/>
        </w:rPr>
        <w:tab/>
        <w:t>ממה שהוא אמר,</w:t>
      </w:r>
      <w:bookmarkStart w:id="19" w:name="_ETM_Q_1074589"/>
      <w:bookmarkEnd w:id="19"/>
    </w:p>
    <w:p w:rsidR="0071081D" w:rsidRDefault="0071081D" w:rsidP="0071081D">
      <w:pPr>
        <w:pStyle w:val="ad"/>
        <w:shd w:val="clear" w:color="auto" w:fill="auto"/>
        <w:spacing w:line="300" w:lineRule="atLeast"/>
        <w:ind w:left="2880" w:hanging="2160"/>
        <w:jc w:val="both"/>
        <w:rPr>
          <w:rFonts w:ascii="Arial" w:hAnsi="Arial" w:cs="David"/>
          <w:sz w:val="24"/>
          <w:szCs w:val="24"/>
          <w:u w:val="none"/>
          <w:rtl/>
        </w:rPr>
      </w:pPr>
      <w:r>
        <w:rPr>
          <w:rFonts w:ascii="Arial" w:hAnsi="Arial" w:cs="David"/>
          <w:sz w:val="24"/>
          <w:szCs w:val="24"/>
          <w:u w:val="none"/>
          <w:rtl/>
        </w:rPr>
        <w:t>ב"כ התובעים:</w:t>
      </w:r>
      <w:r>
        <w:rPr>
          <w:rFonts w:ascii="Arial" w:hAnsi="Arial" w:cs="David"/>
          <w:sz w:val="24"/>
          <w:szCs w:val="24"/>
          <w:u w:val="none"/>
          <w:rtl/>
        </w:rPr>
        <w:tab/>
        <w:t>גברתי, את טוענת, גם כן, לסעיפים</w:t>
      </w:r>
      <w:bookmarkStart w:id="20" w:name="_ETM_Q_1077875"/>
      <w:bookmarkEnd w:id="20"/>
      <w:r>
        <w:rPr>
          <w:rFonts w:ascii="Arial" w:hAnsi="Arial" w:cs="David"/>
          <w:sz w:val="24"/>
          <w:szCs w:val="24"/>
          <w:u w:val="none"/>
          <w:rtl/>
        </w:rPr>
        <w:t xml:space="preserve"> אחרים כמו בסעיף 27, שנכנסו כספים לחשבון המשותף, כל מיני</w:t>
      </w:r>
      <w:bookmarkStart w:id="21" w:name="_ETM_Q_1084799"/>
      <w:bookmarkEnd w:id="21"/>
      <w:r>
        <w:rPr>
          <w:rFonts w:ascii="Arial" w:hAnsi="Arial" w:cs="David"/>
          <w:sz w:val="24"/>
          <w:szCs w:val="24"/>
          <w:u w:val="none"/>
          <w:rtl/>
        </w:rPr>
        <w:t xml:space="preserve"> כספים נכנסו לחשבון המשותף בגלל זה את אומרת שזה לא, לא כספם של התובעים,</w:t>
      </w:r>
      <w:bookmarkStart w:id="22" w:name="_ETM_Q_1087816"/>
      <w:bookmarkEnd w:id="22"/>
    </w:p>
    <w:p w:rsidR="0071081D" w:rsidRDefault="0071081D" w:rsidP="0071081D">
      <w:pPr>
        <w:pStyle w:val="ad"/>
        <w:shd w:val="clear" w:color="auto" w:fill="auto"/>
        <w:spacing w:line="300" w:lineRule="atLeast"/>
        <w:ind w:left="2880" w:hanging="2160"/>
        <w:jc w:val="both"/>
        <w:rPr>
          <w:rFonts w:ascii="Arial" w:hAnsi="Arial" w:cs="David"/>
          <w:sz w:val="24"/>
          <w:szCs w:val="24"/>
          <w:u w:val="none"/>
          <w:rtl/>
        </w:rPr>
      </w:pPr>
      <w:r>
        <w:rPr>
          <w:rFonts w:ascii="Arial" w:hAnsi="Arial" w:cs="David"/>
          <w:sz w:val="24"/>
          <w:szCs w:val="24"/>
          <w:u w:val="none"/>
          <w:rtl/>
        </w:rPr>
        <w:t>ת:</w:t>
      </w:r>
      <w:r>
        <w:rPr>
          <w:rFonts w:ascii="Arial" w:hAnsi="Arial" w:cs="David"/>
          <w:sz w:val="24"/>
          <w:szCs w:val="24"/>
          <w:u w:val="none"/>
          <w:rtl/>
        </w:rPr>
        <w:tab/>
        <w:t>אני לא יודעת כספם של מי זה, אתה יודע,</w:t>
      </w:r>
    </w:p>
    <w:p w:rsidR="0071081D" w:rsidRDefault="0071081D" w:rsidP="0071081D">
      <w:pPr>
        <w:pStyle w:val="ad"/>
        <w:shd w:val="clear" w:color="auto" w:fill="auto"/>
        <w:spacing w:line="300" w:lineRule="atLeast"/>
        <w:ind w:left="2880" w:hanging="2160"/>
        <w:jc w:val="both"/>
        <w:rPr>
          <w:rFonts w:ascii="Arial" w:hAnsi="Arial" w:cs="David"/>
          <w:sz w:val="24"/>
          <w:szCs w:val="24"/>
          <w:u w:val="none"/>
          <w:rtl/>
        </w:rPr>
      </w:pPr>
      <w:r>
        <w:rPr>
          <w:rFonts w:ascii="Arial" w:hAnsi="Arial" w:cs="David"/>
          <w:sz w:val="24"/>
          <w:szCs w:val="24"/>
          <w:u w:val="none"/>
          <w:rtl/>
        </w:rPr>
        <w:t>ש:</w:t>
      </w:r>
      <w:r>
        <w:rPr>
          <w:rFonts w:ascii="Arial" w:hAnsi="Arial" w:cs="David"/>
          <w:sz w:val="24"/>
          <w:szCs w:val="24"/>
          <w:u w:val="none"/>
          <w:rtl/>
        </w:rPr>
        <w:tab/>
        <w:t>אז איך את,</w:t>
      </w:r>
      <w:bookmarkStart w:id="23" w:name="_ETM_Q_1093119"/>
      <w:bookmarkEnd w:id="23"/>
      <w:r>
        <w:rPr>
          <w:rFonts w:ascii="Arial" w:hAnsi="Arial" w:cs="David"/>
          <w:sz w:val="24"/>
          <w:szCs w:val="24"/>
          <w:u w:val="none"/>
          <w:rtl/>
        </w:rPr>
        <w:t xml:space="preserve"> איך את מצהירה שזה לא כספם של התובעים?</w:t>
      </w:r>
    </w:p>
    <w:p w:rsidR="0071081D" w:rsidRDefault="0071081D" w:rsidP="0071081D">
      <w:pPr>
        <w:pStyle w:val="ad"/>
        <w:shd w:val="clear" w:color="auto" w:fill="auto"/>
        <w:spacing w:line="300" w:lineRule="atLeast"/>
        <w:ind w:left="2880" w:hanging="2160"/>
        <w:jc w:val="both"/>
        <w:rPr>
          <w:rFonts w:ascii="Arial" w:hAnsi="Arial" w:cs="David"/>
          <w:b w:val="0"/>
          <w:bCs w:val="0"/>
          <w:sz w:val="24"/>
          <w:szCs w:val="24"/>
          <w:u w:val="none"/>
          <w:rtl/>
        </w:rPr>
      </w:pPr>
      <w:bookmarkStart w:id="24" w:name="_ETM_Q_1090114"/>
      <w:bookmarkEnd w:id="24"/>
      <w:r>
        <w:rPr>
          <w:rFonts w:ascii="Arial" w:hAnsi="Arial" w:cs="David"/>
          <w:sz w:val="24"/>
          <w:szCs w:val="24"/>
          <w:u w:val="none"/>
          <w:rtl/>
        </w:rPr>
        <w:t>ת:</w:t>
      </w:r>
      <w:r>
        <w:rPr>
          <w:rFonts w:ascii="Arial" w:hAnsi="Arial" w:cs="David"/>
          <w:sz w:val="24"/>
          <w:szCs w:val="24"/>
          <w:u w:val="none"/>
          <w:rtl/>
        </w:rPr>
        <w:tab/>
        <w:t xml:space="preserve">אף אחד לא יודעת עם כל השנים האלה </w:t>
      </w:r>
      <w:bookmarkStart w:id="25" w:name="_ETM_Q_1096493"/>
      <w:bookmarkEnd w:id="25"/>
      <w:r>
        <w:rPr>
          <w:rFonts w:ascii="Arial" w:hAnsi="Arial" w:cs="David"/>
          <w:sz w:val="24"/>
          <w:szCs w:val="24"/>
          <w:u w:val="none"/>
          <w:rtl/>
        </w:rPr>
        <w:t>שעברו, אם זה כספים שכבר אתה יודע, אתה מדבר איתי כל הזמן על הוצאות הוצאות, מה עם ההכנסות? מה עם העבודה השנייה שהוא עובד? עם כל הכספים שהוא הרוויח, איפה הכספים האלה</w:t>
      </w:r>
      <w:r>
        <w:rPr>
          <w:rFonts w:ascii="Arial" w:hAnsi="Arial" w:cs="David"/>
          <w:b w:val="0"/>
          <w:bCs w:val="0"/>
          <w:sz w:val="24"/>
          <w:szCs w:val="24"/>
          <w:u w:val="none"/>
          <w:rtl/>
        </w:rPr>
        <w:t>? (עמ' 28, ש' 30 – עמ' 29, ש' 28 לפרוט' 2.11.20).</w:t>
      </w:r>
    </w:p>
    <w:p w:rsidR="0071081D" w:rsidRDefault="0071081D" w:rsidP="0071081D">
      <w:pPr>
        <w:pStyle w:val="ad"/>
        <w:shd w:val="clear" w:color="auto" w:fill="auto"/>
        <w:spacing w:line="300" w:lineRule="atLeast"/>
        <w:ind w:left="2880" w:hanging="2160"/>
        <w:jc w:val="both"/>
        <w:rPr>
          <w:rFonts w:ascii="Arial" w:hAnsi="Arial" w:cs="David"/>
          <w:b w:val="0"/>
          <w:bCs w:val="0"/>
          <w:sz w:val="24"/>
          <w:szCs w:val="24"/>
          <w:u w:val="none"/>
          <w:rtl/>
        </w:rPr>
      </w:pPr>
    </w:p>
    <w:p w:rsidR="0071081D" w:rsidRDefault="0071081D" w:rsidP="0071081D">
      <w:pPr>
        <w:pStyle w:val="ad"/>
        <w:shd w:val="clear" w:color="auto" w:fill="auto"/>
        <w:spacing w:line="300" w:lineRule="atLeast"/>
        <w:ind w:left="2880" w:hanging="2160"/>
        <w:jc w:val="both"/>
        <w:rPr>
          <w:rFonts w:ascii="Arial" w:hAnsi="Arial" w:cs="David"/>
          <w:b w:val="0"/>
          <w:bCs w:val="0"/>
          <w:sz w:val="24"/>
          <w:szCs w:val="24"/>
          <w:u w:val="none"/>
          <w:rtl/>
        </w:rPr>
      </w:pPr>
      <w:r>
        <w:rPr>
          <w:rFonts w:ascii="Arial" w:hAnsi="Arial" w:cs="David"/>
          <w:b w:val="0"/>
          <w:bCs w:val="0"/>
          <w:sz w:val="24"/>
          <w:szCs w:val="24"/>
          <w:u w:val="none"/>
          <w:rtl/>
        </w:rPr>
        <w:t xml:space="preserve">וכן: </w:t>
      </w:r>
    </w:p>
    <w:p w:rsidR="0071081D" w:rsidRDefault="0071081D" w:rsidP="0071081D">
      <w:pPr>
        <w:pStyle w:val="af"/>
        <w:ind w:left="0"/>
        <w:rPr>
          <w:rFonts w:ascii="Calibri" w:hAnsi="Calibri"/>
          <w:noProof w:val="0"/>
          <w:rtl/>
        </w:rPr>
      </w:pPr>
    </w:p>
    <w:p w:rsidR="0071081D" w:rsidRDefault="0071081D" w:rsidP="0071081D">
      <w:pPr>
        <w:pStyle w:val="ad"/>
        <w:shd w:val="clear" w:color="auto" w:fill="auto"/>
        <w:spacing w:line="360" w:lineRule="auto"/>
        <w:ind w:left="2880" w:hanging="2880"/>
        <w:jc w:val="both"/>
        <w:rPr>
          <w:rFonts w:ascii="Arial" w:hAnsi="Arial" w:cs="David"/>
          <w:b w:val="0"/>
          <w:bCs w:val="0"/>
          <w:sz w:val="24"/>
          <w:szCs w:val="24"/>
          <w:u w:val="none"/>
          <w:rtl/>
        </w:rPr>
      </w:pPr>
    </w:p>
    <w:p w:rsidR="0071081D" w:rsidRDefault="0071081D" w:rsidP="0071081D">
      <w:pPr>
        <w:pStyle w:val="ad"/>
        <w:shd w:val="clear" w:color="auto" w:fill="auto"/>
        <w:spacing w:line="300" w:lineRule="atLeast"/>
        <w:ind w:left="2880" w:hanging="2160"/>
        <w:jc w:val="both"/>
        <w:rPr>
          <w:rFonts w:ascii="Arial" w:hAnsi="Arial" w:cs="David"/>
          <w:sz w:val="24"/>
          <w:szCs w:val="24"/>
          <w:u w:val="none"/>
          <w:rtl/>
        </w:rPr>
      </w:pPr>
      <w:r>
        <w:rPr>
          <w:rFonts w:ascii="Arial" w:hAnsi="Arial" w:cs="David"/>
          <w:b w:val="0"/>
          <w:bCs w:val="0"/>
          <w:sz w:val="24"/>
          <w:szCs w:val="24"/>
          <w:u w:val="none"/>
          <w:rtl/>
        </w:rPr>
        <w:t>"</w:t>
      </w:r>
      <w:r>
        <w:rPr>
          <w:rFonts w:ascii="Arial" w:hAnsi="Arial" w:cs="David"/>
          <w:sz w:val="24"/>
          <w:szCs w:val="24"/>
          <w:u w:val="none"/>
          <w:rtl/>
        </w:rPr>
        <w:t>ת:</w:t>
      </w:r>
      <w:r>
        <w:rPr>
          <w:rFonts w:ascii="Arial" w:hAnsi="Arial" w:cs="David"/>
          <w:sz w:val="24"/>
          <w:szCs w:val="24"/>
          <w:u w:val="none"/>
          <w:rtl/>
        </w:rPr>
        <w:tab/>
        <w:t xml:space="preserve">אני רק יודעת בשביל מה שהוא אמר, שהם </w:t>
      </w:r>
      <w:bookmarkStart w:id="26" w:name="_ETM_Q_1164136"/>
      <w:bookmarkEnd w:id="26"/>
      <w:r>
        <w:rPr>
          <w:rFonts w:ascii="Arial" w:hAnsi="Arial" w:cs="David"/>
          <w:sz w:val="24"/>
          <w:szCs w:val="24"/>
          <w:u w:val="none"/>
          <w:rtl/>
        </w:rPr>
        <w:t>מכניסים כספים וזה היה לפני המון שנים, לא ידעתי מה</w:t>
      </w:r>
      <w:bookmarkStart w:id="27" w:name="_ETM_Q_1166799"/>
      <w:bookmarkEnd w:id="27"/>
      <w:r>
        <w:rPr>
          <w:rFonts w:ascii="Arial" w:hAnsi="Arial" w:cs="David"/>
          <w:sz w:val="24"/>
          <w:szCs w:val="24"/>
          <w:u w:val="none"/>
          <w:rtl/>
        </w:rPr>
        <w:t xml:space="preserve"> קורה בחשבון, אמרתי לך, עד הסכסוך שפתאום, פתאום אני רואה יש לי סכום כסף כזה, אפילו לא ידעתי מאיפה זה בא, ואז אח שלו התקשר, הוא כתב לי,</w:t>
      </w:r>
      <w:bookmarkStart w:id="28" w:name="_ETM_Q_1175259"/>
      <w:bookmarkEnd w:id="28"/>
      <w:r>
        <w:rPr>
          <w:rFonts w:ascii="Arial" w:hAnsi="Arial" w:cs="David"/>
          <w:sz w:val="24"/>
          <w:szCs w:val="24"/>
          <w:u w:val="none"/>
          <w:rtl/>
        </w:rPr>
        <w:t xml:space="preserve"> לא יודעת מה, כאילו במן אזהרה כזאת, תזהרי זה</w:t>
      </w:r>
      <w:bookmarkStart w:id="29" w:name="_ETM_Q_1178039"/>
      <w:bookmarkEnd w:id="29"/>
      <w:r>
        <w:rPr>
          <w:rFonts w:ascii="Arial" w:hAnsi="Arial" w:cs="David"/>
          <w:sz w:val="24"/>
          <w:szCs w:val="24"/>
          <w:u w:val="none"/>
          <w:rtl/>
        </w:rPr>
        <w:t xml:space="preserve"> שלי, אל תגעי, לך תדע אם גם זה לא מהצד השני אמרו לו לך, אין </w:t>
      </w:r>
      <w:bookmarkStart w:id="30" w:name="_ETM_Q_1182649"/>
      <w:bookmarkEnd w:id="30"/>
      <w:r>
        <w:rPr>
          <w:rFonts w:ascii="Arial" w:hAnsi="Arial" w:cs="David"/>
          <w:sz w:val="24"/>
          <w:szCs w:val="24"/>
          <w:u w:val="none"/>
          <w:rtl/>
        </w:rPr>
        <w:t>לי מושג,</w:t>
      </w:r>
      <w:bookmarkStart w:id="31" w:name="_ETM_Q_1183929"/>
      <w:bookmarkEnd w:id="31"/>
      <w:r>
        <w:rPr>
          <w:rFonts w:ascii="Arial" w:hAnsi="Arial" w:cs="David"/>
          <w:sz w:val="24"/>
          <w:szCs w:val="24"/>
          <w:u w:val="none"/>
          <w:rtl/>
        </w:rPr>
        <w:t xml:space="preserve"> אני לא יכולה להגיד לך דבר שאני,</w:t>
      </w:r>
      <w:bookmarkStart w:id="32" w:name="_ETM_Q_1186841"/>
      <w:bookmarkEnd w:id="32"/>
      <w:r>
        <w:rPr>
          <w:rFonts w:ascii="Arial" w:hAnsi="Arial" w:cs="David"/>
          <w:sz w:val="24"/>
          <w:szCs w:val="24"/>
          <w:u w:val="none"/>
          <w:rtl/>
        </w:rPr>
        <w:t xml:space="preserve"> אני אומרת כאילו מה שהיה,</w:t>
      </w:r>
    </w:p>
    <w:p w:rsidR="0071081D" w:rsidRDefault="0071081D" w:rsidP="0071081D">
      <w:pPr>
        <w:pStyle w:val="ad"/>
        <w:shd w:val="clear" w:color="auto" w:fill="auto"/>
        <w:spacing w:line="300" w:lineRule="atLeast"/>
        <w:ind w:left="2880" w:hanging="2160"/>
        <w:jc w:val="both"/>
        <w:rPr>
          <w:rFonts w:ascii="Arial" w:hAnsi="Arial" w:cs="David"/>
          <w:sz w:val="24"/>
          <w:szCs w:val="24"/>
          <w:u w:val="none"/>
        </w:rPr>
      </w:pPr>
      <w:r>
        <w:rPr>
          <w:rFonts w:ascii="Arial" w:hAnsi="Arial" w:cs="David"/>
          <w:sz w:val="24"/>
          <w:szCs w:val="24"/>
          <w:u w:val="none"/>
          <w:rtl/>
        </w:rPr>
        <w:t>ש:</w:t>
      </w:r>
      <w:r>
        <w:rPr>
          <w:rFonts w:ascii="Arial" w:hAnsi="Arial" w:cs="David"/>
          <w:sz w:val="24"/>
          <w:szCs w:val="24"/>
          <w:u w:val="none"/>
          <w:rtl/>
        </w:rPr>
        <w:tab/>
        <w:t>למעשה מה שאת אומרת לנו כביכול מהחקירה שלך, את לא יודעת למעשה מה היה שם, בחשבון הזה בכלל,</w:t>
      </w:r>
    </w:p>
    <w:p w:rsidR="0071081D" w:rsidRDefault="0071081D" w:rsidP="0071081D">
      <w:pPr>
        <w:pStyle w:val="ad"/>
        <w:shd w:val="clear" w:color="auto" w:fill="auto"/>
        <w:spacing w:line="300" w:lineRule="atLeast"/>
        <w:ind w:left="2880" w:hanging="2160"/>
        <w:jc w:val="both"/>
        <w:rPr>
          <w:rFonts w:ascii="Arial" w:hAnsi="Arial" w:cs="David"/>
          <w:b w:val="0"/>
          <w:bCs w:val="0"/>
          <w:sz w:val="24"/>
          <w:szCs w:val="24"/>
          <w:u w:val="none"/>
          <w:rtl/>
        </w:rPr>
      </w:pPr>
      <w:bookmarkStart w:id="33" w:name="_ETM_Q_1192222"/>
      <w:bookmarkEnd w:id="33"/>
      <w:r>
        <w:rPr>
          <w:rFonts w:ascii="Arial" w:hAnsi="Arial" w:cs="David"/>
          <w:sz w:val="24"/>
          <w:szCs w:val="24"/>
          <w:u w:val="none"/>
          <w:rtl/>
        </w:rPr>
        <w:t>ת:</w:t>
      </w:r>
      <w:r>
        <w:rPr>
          <w:rFonts w:ascii="Arial" w:hAnsi="Arial" w:cs="David"/>
          <w:sz w:val="24"/>
          <w:szCs w:val="24"/>
          <w:u w:val="none"/>
          <w:rtl/>
        </w:rPr>
        <w:tab/>
        <w:t>אני לא יודעת כי ההתנהלות ביננו</w:t>
      </w:r>
      <w:bookmarkStart w:id="34" w:name="_ETM_Q_1193585"/>
      <w:bookmarkEnd w:id="34"/>
      <w:r>
        <w:rPr>
          <w:rFonts w:ascii="Arial" w:hAnsi="Arial" w:cs="David"/>
          <w:sz w:val="24"/>
          <w:szCs w:val="24"/>
          <w:u w:val="none"/>
          <w:rtl/>
        </w:rPr>
        <w:t xml:space="preserve"> הייתה הוא התעסק בקטע הכספי, אני התעסקתי בדברים של הבית והילדים, וזה היה, זה היה ההליך בבית, ככה התנהלנו, אני</w:t>
      </w:r>
      <w:bookmarkStart w:id="35" w:name="_ETM_Q_1206086"/>
      <w:bookmarkEnd w:id="35"/>
      <w:r>
        <w:rPr>
          <w:rFonts w:ascii="Arial" w:hAnsi="Arial" w:cs="David"/>
          <w:sz w:val="24"/>
          <w:szCs w:val="24"/>
          <w:u w:val="none"/>
          <w:rtl/>
        </w:rPr>
        <w:t xml:space="preserve"> לא הייתי הולכת ואומרת לו כמה יש לי בחשבון,</w:t>
      </w:r>
      <w:bookmarkStart w:id="36" w:name="_ETM_Q_1206713"/>
      <w:bookmarkEnd w:id="36"/>
      <w:r>
        <w:rPr>
          <w:rFonts w:ascii="Arial" w:hAnsi="Arial" w:cs="David"/>
          <w:sz w:val="24"/>
          <w:szCs w:val="24"/>
          <w:u w:val="none"/>
          <w:rtl/>
        </w:rPr>
        <w:t xml:space="preserve"> מה יש לי, לא התעסקתי בזה...</w:t>
      </w:r>
      <w:r>
        <w:rPr>
          <w:rFonts w:ascii="Arial" w:hAnsi="Arial" w:cs="David"/>
          <w:b w:val="0"/>
          <w:bCs w:val="0"/>
          <w:sz w:val="24"/>
          <w:szCs w:val="24"/>
          <w:u w:val="none"/>
          <w:rtl/>
        </w:rPr>
        <w:t xml:space="preserve">" (עמ' 30, ש' 25 – עמ' 31, ש' 2). </w:t>
      </w:r>
      <w:bookmarkStart w:id="37" w:name="_ETM_Q_1212845"/>
      <w:bookmarkEnd w:id="37"/>
    </w:p>
    <w:p w:rsidR="0071081D" w:rsidRDefault="0071081D" w:rsidP="0071081D">
      <w:pPr>
        <w:pStyle w:val="af"/>
        <w:ind w:left="0"/>
        <w:rPr>
          <w:rFonts w:ascii="Calibri" w:hAnsi="Calibri"/>
          <w:noProof w:val="0"/>
          <w:rtl/>
        </w:rPr>
      </w:pPr>
    </w:p>
    <w:p w:rsidR="0071081D" w:rsidRDefault="0071081D" w:rsidP="0071081D">
      <w:pPr>
        <w:pStyle w:val="af"/>
        <w:ind w:left="0"/>
        <w:rPr>
          <w:rFonts w:ascii="Calibri" w:hAnsi="Calibri"/>
          <w:noProof w:val="0"/>
          <w:rtl/>
        </w:rPr>
      </w:pPr>
      <w:r>
        <w:rPr>
          <w:rFonts w:ascii="Calibri" w:hAnsi="Calibri"/>
          <w:noProof w:val="0"/>
          <w:rtl/>
        </w:rPr>
        <w:tab/>
        <w:t xml:space="preserve">וכן: </w:t>
      </w:r>
    </w:p>
    <w:p w:rsidR="0071081D" w:rsidRDefault="0071081D" w:rsidP="0071081D">
      <w:pPr>
        <w:pStyle w:val="af"/>
        <w:ind w:left="0"/>
        <w:rPr>
          <w:rFonts w:ascii="Calibri" w:hAnsi="Calibri"/>
          <w:noProof w:val="0"/>
          <w:sz w:val="12"/>
          <w:szCs w:val="12"/>
          <w:rtl/>
        </w:rPr>
      </w:pPr>
    </w:p>
    <w:p w:rsidR="0071081D" w:rsidRDefault="0071081D" w:rsidP="0071081D">
      <w:pPr>
        <w:pStyle w:val="af"/>
        <w:ind w:left="0"/>
        <w:rPr>
          <w:rFonts w:ascii="Calibri" w:hAnsi="Calibri"/>
          <w:noProof w:val="0"/>
          <w:rtl/>
        </w:rPr>
      </w:pPr>
    </w:p>
    <w:p w:rsidR="0071081D" w:rsidRDefault="0071081D" w:rsidP="0071081D">
      <w:pPr>
        <w:pStyle w:val="ad"/>
        <w:shd w:val="clear" w:color="auto" w:fill="auto"/>
        <w:spacing w:line="300" w:lineRule="atLeast"/>
        <w:ind w:left="2880" w:hanging="2160"/>
        <w:jc w:val="both"/>
        <w:rPr>
          <w:rFonts w:ascii="Arial" w:hAnsi="Arial" w:cs="David"/>
          <w:sz w:val="24"/>
          <w:szCs w:val="24"/>
          <w:u w:val="none"/>
          <w:rtl/>
        </w:rPr>
      </w:pPr>
      <w:r>
        <w:rPr>
          <w:rFonts w:ascii="Arial" w:hAnsi="Arial" w:cs="David"/>
          <w:b w:val="0"/>
          <w:bCs w:val="0"/>
          <w:sz w:val="24"/>
          <w:szCs w:val="24"/>
          <w:u w:val="none"/>
          <w:rtl/>
        </w:rPr>
        <w:t>"</w:t>
      </w:r>
      <w:r>
        <w:rPr>
          <w:rFonts w:ascii="Arial" w:hAnsi="Arial" w:cs="David"/>
          <w:sz w:val="24"/>
          <w:szCs w:val="24"/>
          <w:u w:val="none"/>
          <w:rtl/>
        </w:rPr>
        <w:t>ת:</w:t>
      </w:r>
      <w:r>
        <w:rPr>
          <w:rFonts w:ascii="Arial" w:hAnsi="Arial" w:cs="David"/>
          <w:sz w:val="24"/>
          <w:szCs w:val="24"/>
          <w:u w:val="none"/>
          <w:rtl/>
        </w:rPr>
        <w:tab/>
        <w:t xml:space="preserve">הוא לא, הוא אמר לפני המון שנים, הוא לא דיבר משהו שהתקרב לכיוון המשפט או קצת לפני המשפט, זה היה לפני, אולי ב-2007, אולי אלפיים, מאיפה אני זוכרת, לפני המון שנים, אפילו 10 שנים, הוא רק זרק כזה באוויר, הוא אמר אחי צריך להכניס לי את הכסף, אחותי הסתכסכה עם, וזה גם לא היה משהו שזה היה ממש קרוב אחד לשני, אין לי מושג, </w:t>
      </w:r>
    </w:p>
    <w:p w:rsidR="0071081D" w:rsidRDefault="0071081D" w:rsidP="0071081D">
      <w:pPr>
        <w:pStyle w:val="ad"/>
        <w:shd w:val="clear" w:color="auto" w:fill="auto"/>
        <w:spacing w:line="300" w:lineRule="atLeast"/>
        <w:ind w:left="2880" w:hanging="2160"/>
        <w:jc w:val="both"/>
        <w:rPr>
          <w:rFonts w:ascii="Arial" w:hAnsi="Arial" w:cs="David"/>
          <w:sz w:val="24"/>
          <w:szCs w:val="24"/>
          <w:u w:val="none"/>
        </w:rPr>
      </w:pPr>
      <w:r>
        <w:rPr>
          <w:rFonts w:ascii="Arial" w:hAnsi="Arial" w:cs="David"/>
          <w:sz w:val="24"/>
          <w:szCs w:val="24"/>
          <w:u w:val="none"/>
          <w:rtl/>
        </w:rPr>
        <w:t>ש:</w:t>
      </w:r>
      <w:r>
        <w:rPr>
          <w:rFonts w:ascii="Arial" w:hAnsi="Arial" w:cs="David"/>
          <w:sz w:val="24"/>
          <w:szCs w:val="24"/>
          <w:u w:val="none"/>
          <w:rtl/>
        </w:rPr>
        <w:tab/>
        <w:t>מה בדיוק, שנייה, שנייה, מה בדיוק אמר לך אחותו מה? הסתכסכה?</w:t>
      </w:r>
    </w:p>
    <w:p w:rsidR="0071081D" w:rsidRDefault="0071081D" w:rsidP="0071081D">
      <w:pPr>
        <w:pStyle w:val="ad"/>
        <w:shd w:val="clear" w:color="auto" w:fill="auto"/>
        <w:spacing w:line="300" w:lineRule="atLeast"/>
        <w:ind w:left="2880" w:hanging="2160"/>
        <w:jc w:val="both"/>
        <w:rPr>
          <w:rFonts w:ascii="Arial" w:hAnsi="Arial" w:cs="David"/>
          <w:sz w:val="24"/>
          <w:szCs w:val="24"/>
          <w:u w:val="none"/>
          <w:rtl/>
        </w:rPr>
      </w:pPr>
      <w:r>
        <w:rPr>
          <w:rFonts w:ascii="Arial" w:hAnsi="Arial" w:cs="David"/>
          <w:sz w:val="24"/>
          <w:szCs w:val="24"/>
          <w:u w:val="none"/>
          <w:rtl/>
        </w:rPr>
        <w:t>ת:</w:t>
      </w:r>
      <w:r>
        <w:rPr>
          <w:rFonts w:ascii="Arial" w:hAnsi="Arial" w:cs="David"/>
          <w:sz w:val="24"/>
          <w:szCs w:val="24"/>
          <w:u w:val="none"/>
          <w:rtl/>
        </w:rPr>
        <w:tab/>
        <w:t xml:space="preserve">הסתכסכה עם בעלה, זה מה שהיא גם דיברה פה, </w:t>
      </w:r>
    </w:p>
    <w:p w:rsidR="0071081D" w:rsidRDefault="0071081D" w:rsidP="0071081D">
      <w:pPr>
        <w:pStyle w:val="ad"/>
        <w:shd w:val="clear" w:color="auto" w:fill="auto"/>
        <w:spacing w:line="300" w:lineRule="atLeast"/>
        <w:ind w:left="2880" w:hanging="2160"/>
        <w:jc w:val="both"/>
        <w:rPr>
          <w:rFonts w:ascii="Arial" w:hAnsi="Arial" w:cs="David"/>
          <w:sz w:val="24"/>
          <w:szCs w:val="24"/>
          <w:u w:val="none"/>
          <w:rtl/>
        </w:rPr>
      </w:pPr>
      <w:r>
        <w:rPr>
          <w:rFonts w:ascii="Arial" w:hAnsi="Arial" w:cs="David"/>
          <w:sz w:val="24"/>
          <w:szCs w:val="24"/>
          <w:u w:val="none"/>
          <w:rtl/>
        </w:rPr>
        <w:t>ש:</w:t>
      </w:r>
      <w:r>
        <w:rPr>
          <w:rFonts w:ascii="Arial" w:hAnsi="Arial" w:cs="David"/>
          <w:sz w:val="24"/>
          <w:szCs w:val="24"/>
          <w:u w:val="none"/>
          <w:rtl/>
        </w:rPr>
        <w:tab/>
        <w:t>כן,</w:t>
      </w:r>
    </w:p>
    <w:p w:rsidR="0071081D" w:rsidRDefault="0071081D" w:rsidP="0071081D">
      <w:pPr>
        <w:pStyle w:val="ad"/>
        <w:shd w:val="clear" w:color="auto" w:fill="auto"/>
        <w:spacing w:line="300" w:lineRule="atLeast"/>
        <w:ind w:left="2880" w:hanging="2160"/>
        <w:jc w:val="both"/>
        <w:rPr>
          <w:rFonts w:ascii="Arial" w:hAnsi="Arial" w:cs="David"/>
          <w:sz w:val="24"/>
          <w:szCs w:val="24"/>
          <w:u w:val="none"/>
          <w:rtl/>
        </w:rPr>
      </w:pPr>
      <w:r>
        <w:rPr>
          <w:rFonts w:ascii="Arial" w:hAnsi="Arial" w:cs="David"/>
          <w:sz w:val="24"/>
          <w:szCs w:val="24"/>
          <w:u w:val="none"/>
          <w:rtl/>
        </w:rPr>
        <w:t>ת:</w:t>
      </w:r>
      <w:r>
        <w:rPr>
          <w:rFonts w:ascii="Arial" w:hAnsi="Arial" w:cs="David"/>
          <w:sz w:val="24"/>
          <w:szCs w:val="24"/>
          <w:u w:val="none"/>
          <w:rtl/>
        </w:rPr>
        <w:tab/>
        <w:t>שהיא בעצם רצתה להחביא את הכסף מבעלה,</w:t>
      </w:r>
    </w:p>
    <w:p w:rsidR="0071081D" w:rsidRDefault="0071081D" w:rsidP="00076451">
      <w:pPr>
        <w:pStyle w:val="ad"/>
        <w:shd w:val="clear" w:color="auto" w:fill="auto"/>
        <w:spacing w:line="300" w:lineRule="atLeast"/>
        <w:ind w:left="2880" w:hanging="2160"/>
        <w:jc w:val="both"/>
        <w:rPr>
          <w:rFonts w:ascii="Arial" w:hAnsi="Arial" w:cs="David"/>
          <w:sz w:val="24"/>
          <w:szCs w:val="24"/>
          <w:u w:val="none"/>
          <w:rtl/>
        </w:rPr>
      </w:pPr>
      <w:r>
        <w:rPr>
          <w:rFonts w:ascii="Arial" w:hAnsi="Arial" w:cs="David"/>
          <w:sz w:val="24"/>
          <w:szCs w:val="24"/>
          <w:u w:val="none"/>
          <w:rtl/>
        </w:rPr>
        <w:t>ש:</w:t>
      </w:r>
      <w:r>
        <w:rPr>
          <w:rFonts w:ascii="Arial" w:hAnsi="Arial" w:cs="David"/>
          <w:sz w:val="24"/>
          <w:szCs w:val="24"/>
          <w:u w:val="none"/>
          <w:rtl/>
        </w:rPr>
        <w:tab/>
        <w:t>אני לא שואל אותך מה א</w:t>
      </w:r>
      <w:r w:rsidR="00076451">
        <w:rPr>
          <w:rFonts w:ascii="Arial" w:hAnsi="Arial" w:cs="David" w:hint="cs"/>
          <w:sz w:val="24"/>
          <w:szCs w:val="24"/>
          <w:u w:val="none"/>
          <w:rtl/>
        </w:rPr>
        <w:t>'</w:t>
      </w:r>
      <w:r>
        <w:rPr>
          <w:rFonts w:ascii="Arial" w:hAnsi="Arial" w:cs="David"/>
          <w:sz w:val="24"/>
          <w:szCs w:val="24"/>
          <w:u w:val="none"/>
          <w:rtl/>
        </w:rPr>
        <w:t xml:space="preserve"> דיברה, אני אומר לך מה אורי אמר לך, אני לא מעניין אותי מה הם אמרו (מדברים ביחד 36:43),</w:t>
      </w:r>
    </w:p>
    <w:p w:rsidR="0071081D" w:rsidRDefault="0071081D" w:rsidP="0071081D">
      <w:pPr>
        <w:pStyle w:val="ad"/>
        <w:shd w:val="clear" w:color="auto" w:fill="auto"/>
        <w:spacing w:line="300" w:lineRule="atLeast"/>
        <w:ind w:left="2880" w:hanging="2160"/>
        <w:jc w:val="both"/>
        <w:rPr>
          <w:rFonts w:ascii="Arial" w:hAnsi="Arial" w:cs="David"/>
          <w:sz w:val="24"/>
          <w:szCs w:val="24"/>
          <w:u w:val="none"/>
          <w:rtl/>
        </w:rPr>
      </w:pPr>
      <w:r>
        <w:rPr>
          <w:rFonts w:ascii="Arial" w:hAnsi="Arial" w:cs="David"/>
          <w:sz w:val="24"/>
          <w:szCs w:val="24"/>
          <w:u w:val="none"/>
          <w:rtl/>
        </w:rPr>
        <w:t>ת:</w:t>
      </w:r>
      <w:r>
        <w:rPr>
          <w:rFonts w:ascii="Arial" w:hAnsi="Arial" w:cs="David"/>
          <w:sz w:val="24"/>
          <w:szCs w:val="24"/>
          <w:u w:val="none"/>
          <w:rtl/>
        </w:rPr>
        <w:tab/>
        <w:t>אורי רק אמר,</w:t>
      </w:r>
    </w:p>
    <w:p w:rsidR="0071081D" w:rsidRDefault="0071081D" w:rsidP="0071081D">
      <w:pPr>
        <w:pStyle w:val="ad"/>
        <w:shd w:val="clear" w:color="auto" w:fill="auto"/>
        <w:spacing w:line="300" w:lineRule="atLeast"/>
        <w:ind w:left="2880" w:hanging="2160"/>
        <w:jc w:val="both"/>
        <w:rPr>
          <w:rFonts w:ascii="Arial" w:hAnsi="Arial" w:cs="David"/>
          <w:sz w:val="24"/>
          <w:szCs w:val="24"/>
          <w:u w:val="none"/>
          <w:rtl/>
        </w:rPr>
      </w:pPr>
      <w:r>
        <w:rPr>
          <w:rFonts w:ascii="Arial" w:hAnsi="Arial" w:cs="David"/>
          <w:sz w:val="24"/>
          <w:szCs w:val="24"/>
          <w:u w:val="none"/>
          <w:rtl/>
        </w:rPr>
        <w:t>ש:</w:t>
      </w:r>
      <w:r>
        <w:rPr>
          <w:rFonts w:ascii="Arial" w:hAnsi="Arial" w:cs="David"/>
          <w:sz w:val="24"/>
          <w:szCs w:val="24"/>
          <w:u w:val="none"/>
          <w:rtl/>
        </w:rPr>
        <w:tab/>
        <w:t>כן,</w:t>
      </w:r>
    </w:p>
    <w:p w:rsidR="0071081D" w:rsidRDefault="0071081D" w:rsidP="0071081D">
      <w:pPr>
        <w:pStyle w:val="ad"/>
        <w:shd w:val="clear" w:color="auto" w:fill="auto"/>
        <w:spacing w:line="300" w:lineRule="atLeast"/>
        <w:ind w:left="2880" w:hanging="2160"/>
        <w:jc w:val="both"/>
        <w:rPr>
          <w:rFonts w:ascii="Arial" w:hAnsi="Arial" w:cs="David"/>
          <w:sz w:val="24"/>
          <w:szCs w:val="24"/>
          <w:u w:val="none"/>
          <w:rtl/>
        </w:rPr>
      </w:pPr>
      <w:r>
        <w:rPr>
          <w:rFonts w:ascii="Arial" w:hAnsi="Arial" w:cs="David"/>
          <w:sz w:val="24"/>
          <w:szCs w:val="24"/>
          <w:u w:val="none"/>
          <w:rtl/>
        </w:rPr>
        <w:t>ת:</w:t>
      </w:r>
      <w:r>
        <w:rPr>
          <w:rFonts w:ascii="Arial" w:hAnsi="Arial" w:cs="David"/>
          <w:sz w:val="24"/>
          <w:szCs w:val="24"/>
          <w:u w:val="none"/>
          <w:rtl/>
        </w:rPr>
        <w:tab/>
        <w:t>שאחיו צריך להכניס כסף, זהו, זה מה שהוא אמר,</w:t>
      </w:r>
    </w:p>
    <w:p w:rsidR="0071081D" w:rsidRDefault="0071081D" w:rsidP="0071081D">
      <w:pPr>
        <w:pStyle w:val="ad"/>
        <w:shd w:val="clear" w:color="auto" w:fill="auto"/>
        <w:spacing w:line="300" w:lineRule="atLeast"/>
        <w:ind w:left="2880" w:hanging="2160"/>
        <w:jc w:val="both"/>
        <w:rPr>
          <w:rFonts w:ascii="Arial" w:hAnsi="Arial" w:cs="David"/>
          <w:sz w:val="24"/>
          <w:szCs w:val="24"/>
          <w:u w:val="none"/>
          <w:rtl/>
        </w:rPr>
      </w:pPr>
      <w:r>
        <w:rPr>
          <w:rFonts w:ascii="Arial" w:hAnsi="Arial" w:cs="David"/>
          <w:sz w:val="24"/>
          <w:szCs w:val="24"/>
          <w:u w:val="none"/>
          <w:rtl/>
        </w:rPr>
        <w:t>ש:</w:t>
      </w:r>
      <w:r>
        <w:rPr>
          <w:rFonts w:ascii="Arial" w:hAnsi="Arial" w:cs="David"/>
          <w:sz w:val="24"/>
          <w:szCs w:val="24"/>
          <w:u w:val="none"/>
          <w:rtl/>
        </w:rPr>
        <w:tab/>
        <w:t>ואחותו הסתכסכה עם בעלה (לא ברור 36:51) כסף?</w:t>
      </w:r>
    </w:p>
    <w:p w:rsidR="0071081D" w:rsidRDefault="0071081D" w:rsidP="0071081D">
      <w:pPr>
        <w:pStyle w:val="ad"/>
        <w:shd w:val="clear" w:color="auto" w:fill="auto"/>
        <w:spacing w:line="300" w:lineRule="atLeast"/>
        <w:ind w:left="2880" w:hanging="2160"/>
        <w:jc w:val="both"/>
        <w:rPr>
          <w:rFonts w:ascii="Arial" w:hAnsi="Arial" w:cs="David"/>
          <w:sz w:val="24"/>
          <w:szCs w:val="24"/>
          <w:u w:val="none"/>
          <w:rtl/>
        </w:rPr>
      </w:pPr>
      <w:r>
        <w:rPr>
          <w:rFonts w:ascii="Arial" w:hAnsi="Arial" w:cs="David"/>
          <w:sz w:val="24"/>
          <w:szCs w:val="24"/>
          <w:u w:val="none"/>
          <w:rtl/>
        </w:rPr>
        <w:t>ת:</w:t>
      </w:r>
      <w:r>
        <w:rPr>
          <w:rFonts w:ascii="Arial" w:hAnsi="Arial" w:cs="David"/>
          <w:sz w:val="24"/>
          <w:szCs w:val="24"/>
          <w:u w:val="none"/>
          <w:rtl/>
        </w:rPr>
        <w:tab/>
        <w:t xml:space="preserve">אבל הוא אמר, אני לא יודעת, </w:t>
      </w:r>
    </w:p>
    <w:p w:rsidR="0071081D" w:rsidRDefault="0071081D" w:rsidP="0071081D">
      <w:pPr>
        <w:pStyle w:val="ad"/>
        <w:shd w:val="clear" w:color="auto" w:fill="auto"/>
        <w:spacing w:line="300" w:lineRule="atLeast"/>
        <w:ind w:left="2880" w:hanging="2160"/>
        <w:jc w:val="both"/>
        <w:rPr>
          <w:rFonts w:ascii="Arial" w:hAnsi="Arial" w:cs="David"/>
          <w:sz w:val="24"/>
          <w:szCs w:val="24"/>
          <w:u w:val="none"/>
          <w:rtl/>
        </w:rPr>
      </w:pPr>
      <w:r>
        <w:rPr>
          <w:rFonts w:ascii="Arial" w:hAnsi="Arial" w:cs="David"/>
          <w:sz w:val="24"/>
          <w:szCs w:val="24"/>
          <w:u w:val="none"/>
          <w:rtl/>
        </w:rPr>
        <w:t>ש:</w:t>
      </w:r>
      <w:r>
        <w:rPr>
          <w:rFonts w:ascii="Arial" w:hAnsi="Arial" w:cs="David"/>
          <w:sz w:val="24"/>
          <w:szCs w:val="24"/>
          <w:u w:val="none"/>
          <w:rtl/>
        </w:rPr>
        <w:tab/>
        <w:t>ואמר לך שאחותו גם כן הסתכסכה עם בעלה וצריכה להעביר כסף?</w:t>
      </w:r>
    </w:p>
    <w:p w:rsidR="0071081D" w:rsidRDefault="0071081D" w:rsidP="0071081D">
      <w:pPr>
        <w:pStyle w:val="ad"/>
        <w:shd w:val="clear" w:color="auto" w:fill="auto"/>
        <w:spacing w:line="300" w:lineRule="atLeast"/>
        <w:ind w:left="2880" w:hanging="2160"/>
        <w:jc w:val="both"/>
        <w:rPr>
          <w:rFonts w:ascii="Arial" w:hAnsi="Arial" w:cs="David"/>
          <w:sz w:val="24"/>
          <w:szCs w:val="24"/>
          <w:u w:val="none"/>
          <w:rtl/>
        </w:rPr>
      </w:pPr>
      <w:r>
        <w:rPr>
          <w:rFonts w:ascii="Arial" w:hAnsi="Arial" w:cs="David"/>
          <w:sz w:val="24"/>
          <w:szCs w:val="24"/>
          <w:u w:val="none"/>
          <w:rtl/>
        </w:rPr>
        <w:t>ת:</w:t>
      </w:r>
      <w:r>
        <w:rPr>
          <w:rFonts w:ascii="Arial" w:hAnsi="Arial" w:cs="David"/>
          <w:sz w:val="24"/>
          <w:szCs w:val="24"/>
          <w:u w:val="none"/>
          <w:rtl/>
        </w:rPr>
        <w:tab/>
        <w:t xml:space="preserve">הוא אמר בגלל שהיא, בגלל שאחותו הסתכסכה אז היא צריכה להעביר כסף, אבל זה דברים שהוא אמר, אני אמרתי לך, אני לא הייתי בתוך, אני לא ראיתי מה נכנס, מה, אני לא יודעת מה היה שם, יכול להיות שגם, אתה יודע הוא גם עשה את החליפין הזה איתם, מי יכול לדעת, אתה כל הזמן שואל אותי על הוצאות הוצאות, תראה מה ההכנסות שלו, </w:t>
      </w:r>
    </w:p>
    <w:p w:rsidR="0071081D" w:rsidRDefault="0071081D" w:rsidP="0071081D">
      <w:pPr>
        <w:pStyle w:val="ad"/>
        <w:shd w:val="clear" w:color="auto" w:fill="auto"/>
        <w:spacing w:line="300" w:lineRule="atLeast"/>
        <w:ind w:left="2880" w:hanging="2160"/>
        <w:jc w:val="both"/>
        <w:rPr>
          <w:rFonts w:ascii="Arial" w:hAnsi="Arial" w:cs="David"/>
          <w:sz w:val="24"/>
          <w:szCs w:val="24"/>
          <w:u w:val="none"/>
          <w:rtl/>
        </w:rPr>
      </w:pPr>
      <w:r>
        <w:rPr>
          <w:rFonts w:ascii="Arial" w:hAnsi="Arial" w:cs="David"/>
          <w:sz w:val="24"/>
          <w:szCs w:val="24"/>
          <w:u w:val="none"/>
          <w:rtl/>
        </w:rPr>
        <w:lastRenderedPageBreak/>
        <w:t>ש:</w:t>
      </w:r>
      <w:r>
        <w:rPr>
          <w:rFonts w:ascii="Arial" w:hAnsi="Arial" w:cs="David"/>
          <w:sz w:val="24"/>
          <w:szCs w:val="24"/>
          <w:u w:val="none"/>
          <w:rtl/>
        </w:rPr>
        <w:tab/>
        <w:t>גברתי, את יודעת איזה הכנסות יש לו? ראית אותם?</w:t>
      </w:r>
    </w:p>
    <w:p w:rsidR="0071081D" w:rsidRDefault="0071081D" w:rsidP="0071081D">
      <w:pPr>
        <w:pStyle w:val="ad"/>
        <w:shd w:val="clear" w:color="auto" w:fill="auto"/>
        <w:spacing w:line="300" w:lineRule="atLeast"/>
        <w:ind w:left="2880" w:hanging="2160"/>
        <w:jc w:val="both"/>
        <w:rPr>
          <w:rFonts w:ascii="Arial" w:hAnsi="Arial" w:cs="David"/>
          <w:sz w:val="24"/>
          <w:szCs w:val="24"/>
          <w:u w:val="none"/>
          <w:rtl/>
        </w:rPr>
      </w:pPr>
      <w:r>
        <w:rPr>
          <w:rFonts w:ascii="Arial" w:hAnsi="Arial" w:cs="David"/>
          <w:sz w:val="24"/>
          <w:szCs w:val="24"/>
          <w:u w:val="none"/>
          <w:rtl/>
        </w:rPr>
        <w:t>ת:</w:t>
      </w:r>
      <w:r>
        <w:rPr>
          <w:rFonts w:ascii="Arial" w:hAnsi="Arial" w:cs="David"/>
          <w:sz w:val="24"/>
          <w:szCs w:val="24"/>
          <w:u w:val="none"/>
          <w:rtl/>
        </w:rPr>
        <w:tab/>
        <w:t>הוא גם לא יראה לי, אפשר להעלים אותם,</w:t>
      </w:r>
    </w:p>
    <w:p w:rsidR="0071081D" w:rsidRDefault="0071081D" w:rsidP="0071081D">
      <w:pPr>
        <w:pStyle w:val="ad"/>
        <w:shd w:val="clear" w:color="auto" w:fill="auto"/>
        <w:spacing w:line="300" w:lineRule="atLeast"/>
        <w:ind w:left="2880" w:hanging="2160"/>
        <w:jc w:val="both"/>
        <w:rPr>
          <w:rFonts w:ascii="Arial" w:hAnsi="Arial" w:cs="David"/>
          <w:sz w:val="24"/>
          <w:szCs w:val="24"/>
          <w:u w:val="none"/>
          <w:rtl/>
        </w:rPr>
      </w:pPr>
      <w:r>
        <w:rPr>
          <w:rFonts w:ascii="Arial" w:hAnsi="Arial" w:cs="David"/>
          <w:sz w:val="24"/>
          <w:szCs w:val="24"/>
          <w:u w:val="none"/>
          <w:rtl/>
        </w:rPr>
        <w:t>ש:</w:t>
      </w:r>
      <w:r>
        <w:rPr>
          <w:rFonts w:ascii="Arial" w:hAnsi="Arial" w:cs="David"/>
          <w:sz w:val="24"/>
          <w:szCs w:val="24"/>
          <w:u w:val="none"/>
          <w:rtl/>
        </w:rPr>
        <w:tab/>
        <w:t>אז למעשה את לא יודעת,</w:t>
      </w:r>
    </w:p>
    <w:p w:rsidR="0071081D" w:rsidRDefault="0071081D" w:rsidP="0071081D">
      <w:pPr>
        <w:pStyle w:val="ad"/>
        <w:shd w:val="clear" w:color="auto" w:fill="auto"/>
        <w:spacing w:line="300" w:lineRule="atLeast"/>
        <w:ind w:left="2880" w:hanging="2160"/>
        <w:jc w:val="both"/>
        <w:rPr>
          <w:rFonts w:ascii="Arial" w:hAnsi="Arial" w:cs="David"/>
          <w:sz w:val="24"/>
          <w:szCs w:val="24"/>
          <w:u w:val="none"/>
          <w:rtl/>
        </w:rPr>
      </w:pPr>
      <w:r>
        <w:rPr>
          <w:rFonts w:ascii="Arial" w:hAnsi="Arial" w:cs="David"/>
          <w:sz w:val="24"/>
          <w:szCs w:val="24"/>
          <w:u w:val="none"/>
          <w:rtl/>
        </w:rPr>
        <w:t>ת:</w:t>
      </w:r>
      <w:r>
        <w:rPr>
          <w:rFonts w:ascii="Arial" w:hAnsi="Arial" w:cs="David"/>
          <w:sz w:val="24"/>
          <w:szCs w:val="24"/>
          <w:u w:val="none"/>
          <w:rtl/>
        </w:rPr>
        <w:tab/>
        <w:t>כשאתה לא משלם מס, אתה יכול להעלים הכל,</w:t>
      </w:r>
    </w:p>
    <w:p w:rsidR="0071081D" w:rsidRDefault="0071081D" w:rsidP="0071081D">
      <w:pPr>
        <w:pStyle w:val="ad"/>
        <w:shd w:val="clear" w:color="auto" w:fill="auto"/>
        <w:spacing w:line="300" w:lineRule="atLeast"/>
        <w:ind w:left="2880" w:hanging="2160"/>
        <w:jc w:val="both"/>
        <w:rPr>
          <w:rFonts w:ascii="Arial" w:hAnsi="Arial" w:cs="David"/>
          <w:sz w:val="24"/>
          <w:szCs w:val="24"/>
          <w:u w:val="none"/>
          <w:rtl/>
        </w:rPr>
      </w:pPr>
      <w:r>
        <w:rPr>
          <w:rFonts w:ascii="Arial" w:hAnsi="Arial" w:cs="David"/>
          <w:sz w:val="24"/>
          <w:szCs w:val="24"/>
          <w:u w:val="none"/>
          <w:rtl/>
        </w:rPr>
        <w:t>ש:</w:t>
      </w:r>
      <w:r>
        <w:rPr>
          <w:rFonts w:ascii="Arial" w:hAnsi="Arial" w:cs="David"/>
          <w:sz w:val="24"/>
          <w:szCs w:val="24"/>
          <w:u w:val="none"/>
          <w:rtl/>
        </w:rPr>
        <w:tab/>
        <w:t>אז למעשה את לא יודעת, נכון?</w:t>
      </w:r>
    </w:p>
    <w:p w:rsidR="0071081D" w:rsidRDefault="0071081D" w:rsidP="0071081D">
      <w:pPr>
        <w:pStyle w:val="ad"/>
        <w:shd w:val="clear" w:color="auto" w:fill="auto"/>
        <w:spacing w:line="300" w:lineRule="atLeast"/>
        <w:ind w:left="2880" w:hanging="2160"/>
        <w:jc w:val="both"/>
        <w:rPr>
          <w:rFonts w:ascii="Arial" w:hAnsi="Arial" w:cs="David"/>
          <w:sz w:val="24"/>
          <w:szCs w:val="24"/>
          <w:u w:val="none"/>
          <w:rtl/>
        </w:rPr>
      </w:pPr>
      <w:r>
        <w:rPr>
          <w:rFonts w:ascii="Arial" w:hAnsi="Arial" w:cs="David"/>
          <w:sz w:val="24"/>
          <w:szCs w:val="24"/>
          <w:u w:val="none"/>
          <w:rtl/>
        </w:rPr>
        <w:t>ת:</w:t>
      </w:r>
      <w:r>
        <w:rPr>
          <w:rFonts w:ascii="Arial" w:hAnsi="Arial" w:cs="David"/>
          <w:sz w:val="24"/>
          <w:szCs w:val="24"/>
          <w:u w:val="none"/>
          <w:rtl/>
        </w:rPr>
        <w:tab/>
        <w:t xml:space="preserve">לא, אני לא יודעת, </w:t>
      </w:r>
    </w:p>
    <w:p w:rsidR="0071081D" w:rsidRDefault="0071081D" w:rsidP="0071081D">
      <w:pPr>
        <w:pStyle w:val="ad"/>
        <w:shd w:val="clear" w:color="auto" w:fill="auto"/>
        <w:spacing w:line="300" w:lineRule="atLeast"/>
        <w:ind w:left="2880" w:hanging="2160"/>
        <w:jc w:val="both"/>
        <w:rPr>
          <w:rFonts w:ascii="Arial" w:hAnsi="Arial" w:cs="David"/>
          <w:sz w:val="24"/>
          <w:szCs w:val="24"/>
          <w:u w:val="none"/>
          <w:rtl/>
        </w:rPr>
      </w:pPr>
      <w:r>
        <w:rPr>
          <w:rFonts w:ascii="Arial" w:hAnsi="Arial" w:cs="David"/>
          <w:sz w:val="24"/>
          <w:szCs w:val="24"/>
          <w:u w:val="none"/>
          <w:rtl/>
        </w:rPr>
        <w:t>ש:</w:t>
      </w:r>
      <w:r>
        <w:rPr>
          <w:rFonts w:ascii="Arial" w:hAnsi="Arial" w:cs="David"/>
          <w:sz w:val="24"/>
          <w:szCs w:val="24"/>
          <w:u w:val="none"/>
          <w:rtl/>
        </w:rPr>
        <w:tab/>
        <w:t>טוב, בסדר,</w:t>
      </w:r>
    </w:p>
    <w:p w:rsidR="0071081D" w:rsidRDefault="0071081D" w:rsidP="0071081D">
      <w:pPr>
        <w:pStyle w:val="ad"/>
        <w:shd w:val="clear" w:color="auto" w:fill="auto"/>
        <w:spacing w:line="300" w:lineRule="atLeast"/>
        <w:ind w:left="2880" w:hanging="2160"/>
        <w:jc w:val="both"/>
        <w:rPr>
          <w:rFonts w:ascii="Arial" w:hAnsi="Arial" w:cs="David"/>
          <w:b w:val="0"/>
          <w:bCs w:val="0"/>
          <w:sz w:val="24"/>
          <w:szCs w:val="24"/>
          <w:u w:val="none"/>
          <w:rtl/>
        </w:rPr>
      </w:pPr>
      <w:r>
        <w:rPr>
          <w:rFonts w:ascii="Arial" w:hAnsi="Arial" w:cs="David"/>
          <w:sz w:val="24"/>
          <w:szCs w:val="24"/>
          <w:u w:val="none"/>
          <w:rtl/>
        </w:rPr>
        <w:t>ת:</w:t>
      </w:r>
      <w:r>
        <w:rPr>
          <w:rFonts w:ascii="Arial" w:hAnsi="Arial" w:cs="David"/>
          <w:sz w:val="24"/>
          <w:szCs w:val="24"/>
          <w:u w:val="none"/>
          <w:rtl/>
        </w:rPr>
        <w:tab/>
        <w:t>למה מה הוא יגיד לי מה יש לו בצד? גם את זה פתאום רק בסכסוך ראיתי, מי יודע לפני המון המון שנים שהכניסו, אם זה היה גם לפני 10 שנים, מה לא היה אפשר לעשות את החליפין? מה, אי אפשר היה להגיד אוקיי תכניסו שלא יידעו ואחר כך אני אעשה, מאיפה יודעת, מי יודע מה היה שם בדרך ...</w:t>
      </w:r>
      <w:r>
        <w:rPr>
          <w:rFonts w:ascii="Arial" w:hAnsi="Arial" w:cs="David"/>
          <w:b w:val="0"/>
          <w:bCs w:val="0"/>
          <w:sz w:val="24"/>
          <w:szCs w:val="24"/>
          <w:u w:val="none"/>
          <w:rtl/>
        </w:rPr>
        <w:t xml:space="preserve"> (עמ' 41, ש' 24- עמ' 42, ש' 26).</w:t>
      </w:r>
    </w:p>
    <w:p w:rsidR="0071081D" w:rsidRDefault="0071081D" w:rsidP="0071081D">
      <w:pPr>
        <w:pStyle w:val="af"/>
        <w:ind w:left="0"/>
        <w:rPr>
          <w:rFonts w:ascii="Calibri" w:hAnsi="Calibri"/>
          <w:noProof w:val="0"/>
          <w:rtl/>
        </w:rPr>
      </w:pPr>
    </w:p>
    <w:p w:rsidR="0071081D" w:rsidRDefault="0071081D" w:rsidP="0071081D">
      <w:pPr>
        <w:pStyle w:val="af"/>
        <w:ind w:left="0"/>
        <w:rPr>
          <w:rFonts w:ascii="Calibri" w:hAnsi="Calibri"/>
          <w:noProof w:val="0"/>
          <w:sz w:val="12"/>
          <w:szCs w:val="12"/>
          <w:rtl/>
        </w:rPr>
      </w:pPr>
    </w:p>
    <w:p w:rsidR="0071081D" w:rsidRDefault="0071081D" w:rsidP="000E2570">
      <w:pPr>
        <w:numPr>
          <w:ilvl w:val="0"/>
          <w:numId w:val="1"/>
        </w:numPr>
        <w:spacing w:after="120" w:line="360" w:lineRule="auto"/>
        <w:ind w:hanging="720"/>
        <w:contextualSpacing/>
        <w:jc w:val="both"/>
        <w:rPr>
          <w:rFonts w:ascii="Calibri" w:hAnsi="Calibri"/>
          <w:noProof w:val="0"/>
          <w:rtl/>
        </w:rPr>
      </w:pPr>
      <w:r>
        <w:rPr>
          <w:rFonts w:ascii="Calibri" w:hAnsi="Calibri"/>
          <w:noProof w:val="0"/>
          <w:rtl/>
        </w:rPr>
        <w:t xml:space="preserve">הנה כי כן, לא מצאתי כי יש בעדותה של התובעת כדי להעלות או להוריד מהנטל המוטל על התובעים. הנתבעת אמנם העידה כי הנתבע אמר לה לפני שנים רבות כי אחיו מתכוונים להעביר אליו כספים אולם בפועל הנתבעת לא ידעה כמה כספים מדובר, לא ידעה על ההתנהלות הכספית בחשבונות הבנק של הנתבע, לא ידעה האם הנתבע השיב לאחיו את הכספים ולא היתה מיודעת ברזי ההתנהלות של הנתבע כי הנתבע לא שיתף אותה בכך. רק לאחר פרוץ הסכסוך בין הצדדים, אחיו של הנתבע שלח לה הודעה והזהיר אותה בנוגע לכספים. כן, העידה כי הנתבע נהג למדר אותה מהעניינים הכספים, כך שכלל לא ברור כי מדובר בכספים של התובעים אלא כספים של הנתבע עצמו מהכנסותיו. </w:t>
      </w:r>
    </w:p>
    <w:p w:rsidR="0071081D" w:rsidRDefault="0071081D" w:rsidP="0071081D">
      <w:pPr>
        <w:spacing w:after="120" w:line="360" w:lineRule="auto"/>
        <w:ind w:left="720"/>
        <w:contextualSpacing/>
        <w:jc w:val="both"/>
        <w:rPr>
          <w:rFonts w:ascii="Calibri" w:hAnsi="Calibri"/>
          <w:noProof w:val="0"/>
          <w:sz w:val="12"/>
          <w:szCs w:val="12"/>
        </w:rPr>
      </w:pPr>
    </w:p>
    <w:p w:rsidR="0071081D" w:rsidRDefault="0071081D" w:rsidP="000E2570">
      <w:pPr>
        <w:numPr>
          <w:ilvl w:val="0"/>
          <w:numId w:val="1"/>
        </w:numPr>
        <w:spacing w:after="120" w:line="360" w:lineRule="auto"/>
        <w:ind w:hanging="720"/>
        <w:contextualSpacing/>
        <w:jc w:val="both"/>
        <w:rPr>
          <w:rFonts w:ascii="Calibri" w:hAnsi="Calibri"/>
          <w:noProof w:val="0"/>
        </w:rPr>
      </w:pPr>
      <w:r>
        <w:rPr>
          <w:rFonts w:ascii="Calibri" w:hAnsi="Calibri"/>
          <w:noProof w:val="0"/>
          <w:rtl/>
        </w:rPr>
        <w:t xml:space="preserve">בנוסף, הנתבעת </w:t>
      </w:r>
      <w:r w:rsidR="000E2570">
        <w:rPr>
          <w:rFonts w:ascii="Calibri" w:hAnsi="Calibri" w:hint="cs"/>
          <w:noProof w:val="0"/>
          <w:rtl/>
        </w:rPr>
        <w:t xml:space="preserve">העידה </w:t>
      </w:r>
      <w:r>
        <w:rPr>
          <w:rFonts w:ascii="Calibri" w:hAnsi="Calibri"/>
          <w:noProof w:val="0"/>
          <w:rtl/>
        </w:rPr>
        <w:t xml:space="preserve">כי כלל לא ידעה שהועברו כספים לחשבון הבנק המשותף של הצדדים כך שממילא לא היתה יכולה ליתן הסכמה לכך שיישמרו כספים של התובעים בנאמנות בחשבון הבנק של בני הזוג. יצוין, כי עובדה זו נתמכת גם בעדויות התובעים עצמם (ר' למשל עדות התובע בעמ' 42, ש' 23-25 לפרוט' 18.5.21) ויש בה כדי להעיד כי לא היה כל הסכם ו/או התחייבות של הנתבעת כלפי התובעים. יצוין, כי גם הנתבע </w:t>
      </w:r>
      <w:r w:rsidR="000E2570">
        <w:rPr>
          <w:rFonts w:ascii="Calibri" w:hAnsi="Calibri" w:hint="cs"/>
          <w:noProof w:val="0"/>
          <w:rtl/>
        </w:rPr>
        <w:t xml:space="preserve">אישר </w:t>
      </w:r>
      <w:r>
        <w:rPr>
          <w:rFonts w:ascii="Calibri" w:hAnsi="Calibri"/>
          <w:noProof w:val="0"/>
          <w:rtl/>
        </w:rPr>
        <w:t xml:space="preserve">כי התובעים וכן הנתבעת לא ידעו בטרם הגשת התביעה כי העביר את הכספים לחשבון הבנק המשותף (עמ' 56, ש' 20-24 וש' 28), ואף עניין זה מלמד על התנהלות תמוהה של הנתבע שיש בה כדי לסתור את טענת הנאמנות </w:t>
      </w:r>
      <w:r w:rsidR="000E2570">
        <w:rPr>
          <w:rFonts w:ascii="Calibri" w:hAnsi="Calibri" w:hint="cs"/>
          <w:noProof w:val="0"/>
          <w:rtl/>
        </w:rPr>
        <w:t xml:space="preserve">כלפי הנתבעת </w:t>
      </w:r>
      <w:r>
        <w:rPr>
          <w:rFonts w:ascii="Calibri" w:hAnsi="Calibri"/>
          <w:noProof w:val="0"/>
          <w:rtl/>
        </w:rPr>
        <w:t xml:space="preserve">ואף לבסס את המסקנה כי לא קיימת התחייבות חוזית בין התובעים לבין הנתבעת בקשר לכספים הנטענים.  </w:t>
      </w:r>
    </w:p>
    <w:p w:rsidR="0071081D" w:rsidRDefault="0071081D" w:rsidP="0071081D">
      <w:pPr>
        <w:spacing w:after="120" w:line="360" w:lineRule="auto"/>
        <w:ind w:left="720"/>
        <w:contextualSpacing/>
        <w:jc w:val="both"/>
        <w:rPr>
          <w:rFonts w:ascii="Calibri" w:hAnsi="Calibri"/>
          <w:noProof w:val="0"/>
          <w:sz w:val="12"/>
          <w:szCs w:val="12"/>
        </w:rPr>
      </w:pPr>
    </w:p>
    <w:p w:rsidR="0071081D" w:rsidRDefault="0071081D" w:rsidP="0071081D">
      <w:pPr>
        <w:numPr>
          <w:ilvl w:val="0"/>
          <w:numId w:val="1"/>
        </w:numPr>
        <w:spacing w:after="120" w:line="360" w:lineRule="auto"/>
        <w:ind w:hanging="720"/>
        <w:contextualSpacing/>
        <w:jc w:val="both"/>
        <w:rPr>
          <w:rFonts w:ascii="Calibri" w:hAnsi="Calibri"/>
          <w:noProof w:val="0"/>
        </w:rPr>
      </w:pPr>
      <w:r>
        <w:rPr>
          <w:rFonts w:ascii="Calibri" w:hAnsi="Calibri"/>
          <w:noProof w:val="0"/>
          <w:rtl/>
        </w:rPr>
        <w:t xml:space="preserve">בשולי הדברים אך לא בשולי חשיבותם, אציין כי כשמדובר בכספים אשר לטענת הנתבעת הוברחו מצדדים שלישיים, </w:t>
      </w:r>
      <w:r w:rsidR="000E2570">
        <w:rPr>
          <w:rFonts w:ascii="Calibri" w:hAnsi="Calibri" w:hint="cs"/>
          <w:noProof w:val="0"/>
          <w:rtl/>
        </w:rPr>
        <w:t>כך ש</w:t>
      </w:r>
      <w:r>
        <w:rPr>
          <w:rFonts w:ascii="Calibri" w:hAnsi="Calibri"/>
          <w:noProof w:val="0"/>
          <w:rtl/>
        </w:rPr>
        <w:t xml:space="preserve">ספק רב אם ניתן לחייב את הנתבעת להסכים </w:t>
      </w:r>
      <w:r w:rsidR="000E2570">
        <w:rPr>
          <w:rFonts w:ascii="Calibri" w:hAnsi="Calibri" w:hint="cs"/>
          <w:noProof w:val="0"/>
          <w:rtl/>
        </w:rPr>
        <w:t xml:space="preserve">בדיעבד לכך </w:t>
      </w:r>
      <w:r>
        <w:rPr>
          <w:rFonts w:ascii="Calibri" w:hAnsi="Calibri"/>
          <w:noProof w:val="0"/>
          <w:rtl/>
        </w:rPr>
        <w:t xml:space="preserve">שכספים אלו יישמרו בחשבון בנק שלה </w:t>
      </w:r>
      <w:r w:rsidR="00D42F16">
        <w:rPr>
          <w:rFonts w:ascii="Calibri" w:hAnsi="Calibri" w:hint="cs"/>
          <w:noProof w:val="0"/>
          <w:rtl/>
        </w:rPr>
        <w:t>ו</w:t>
      </w:r>
      <w:r>
        <w:rPr>
          <w:rFonts w:ascii="Calibri" w:hAnsi="Calibri"/>
          <w:noProof w:val="0"/>
          <w:rtl/>
        </w:rPr>
        <w:t xml:space="preserve">באופן שבו נעשו הדברים. ואולם, בהעדר כל ידיעה על העברת הכספים לחשבון הבנק המשותף, ממילא אין לכך כל רלבנטיות לענייננו. </w:t>
      </w:r>
    </w:p>
    <w:p w:rsidR="0071081D" w:rsidRDefault="0071081D" w:rsidP="0071081D">
      <w:pPr>
        <w:spacing w:after="120" w:line="360" w:lineRule="auto"/>
        <w:ind w:left="720"/>
        <w:contextualSpacing/>
        <w:jc w:val="both"/>
        <w:rPr>
          <w:rFonts w:ascii="Calibri" w:hAnsi="Calibri"/>
          <w:noProof w:val="0"/>
          <w:sz w:val="12"/>
          <w:szCs w:val="12"/>
        </w:rPr>
      </w:pPr>
    </w:p>
    <w:p w:rsidR="0071081D" w:rsidRDefault="0071081D" w:rsidP="0071081D">
      <w:pPr>
        <w:numPr>
          <w:ilvl w:val="0"/>
          <w:numId w:val="1"/>
        </w:numPr>
        <w:spacing w:after="120" w:line="360" w:lineRule="auto"/>
        <w:ind w:hanging="720"/>
        <w:contextualSpacing/>
        <w:jc w:val="both"/>
        <w:rPr>
          <w:rFonts w:ascii="Calibri" w:hAnsi="Calibri"/>
          <w:noProof w:val="0"/>
        </w:rPr>
      </w:pPr>
      <w:r>
        <w:rPr>
          <w:rFonts w:ascii="Calibri" w:hAnsi="Calibri"/>
          <w:noProof w:val="0"/>
          <w:rtl/>
        </w:rPr>
        <w:t xml:space="preserve">אשר על כן, לא מצאתי כי יש בעדותה של הנתבעת כדי לבסס ממצא אודות קיומו של הסכם נאמנות בינה לבין התובעים כל שכן נאמנות משתמעת אלא להיפך. כל שנאמר לה מפי הנתבע היא אמירה </w:t>
      </w:r>
      <w:r>
        <w:rPr>
          <w:rFonts w:ascii="Calibri" w:hAnsi="Calibri"/>
          <w:noProof w:val="0"/>
          <w:rtl/>
        </w:rPr>
        <w:lastRenderedPageBreak/>
        <w:t>עמומה לפני שנים רבות ומבלי שהנתבעת היתה מיודעת בנוגע להתנהלות הכספית בקשר לכספים אלו</w:t>
      </w:r>
      <w:r w:rsidR="000E2570">
        <w:rPr>
          <w:rFonts w:ascii="Calibri" w:hAnsi="Calibri" w:hint="cs"/>
          <w:noProof w:val="0"/>
          <w:rtl/>
        </w:rPr>
        <w:t>, ואין בנסיבות אלו כדי להקים חיוב כלפיה להשיב את הכספים</w:t>
      </w:r>
      <w:r>
        <w:rPr>
          <w:rFonts w:ascii="Calibri" w:hAnsi="Calibri"/>
          <w:noProof w:val="0"/>
          <w:rtl/>
        </w:rPr>
        <w:t xml:space="preserve">.  </w:t>
      </w:r>
    </w:p>
    <w:p w:rsidR="0071081D" w:rsidRDefault="0071081D" w:rsidP="0071081D">
      <w:pPr>
        <w:pStyle w:val="af"/>
        <w:rPr>
          <w:rFonts w:ascii="Calibri" w:hAnsi="Calibri"/>
          <w:noProof w:val="0"/>
          <w:sz w:val="12"/>
          <w:szCs w:val="12"/>
        </w:rPr>
      </w:pPr>
    </w:p>
    <w:p w:rsidR="0071081D" w:rsidRDefault="0071081D" w:rsidP="0071081D">
      <w:pPr>
        <w:spacing w:after="120" w:line="360" w:lineRule="auto"/>
        <w:contextualSpacing/>
        <w:jc w:val="both"/>
        <w:rPr>
          <w:rFonts w:ascii="Calibri" w:hAnsi="Calibri"/>
          <w:noProof w:val="0"/>
          <w:rtl/>
        </w:rPr>
      </w:pPr>
      <w:r>
        <w:rPr>
          <w:rFonts w:ascii="Calibri" w:hAnsi="Calibri"/>
          <w:b/>
          <w:bCs/>
          <w:noProof w:val="0"/>
          <w:u w:val="single"/>
          <w:rtl/>
        </w:rPr>
        <w:t>מישור היחסים בין התובעים לבין הנתבע</w:t>
      </w:r>
      <w:r>
        <w:rPr>
          <w:rFonts w:ascii="Calibri" w:hAnsi="Calibri"/>
          <w:noProof w:val="0"/>
          <w:rtl/>
        </w:rPr>
        <w:t>:</w:t>
      </w:r>
    </w:p>
    <w:p w:rsidR="0071081D" w:rsidRDefault="0071081D" w:rsidP="0071081D">
      <w:pPr>
        <w:spacing w:after="120" w:line="360" w:lineRule="auto"/>
        <w:contextualSpacing/>
        <w:jc w:val="both"/>
        <w:rPr>
          <w:rFonts w:ascii="Calibri" w:hAnsi="Calibri"/>
          <w:noProof w:val="0"/>
          <w:sz w:val="12"/>
          <w:szCs w:val="12"/>
          <w:rtl/>
        </w:rPr>
      </w:pPr>
    </w:p>
    <w:p w:rsidR="0071081D" w:rsidRDefault="0071081D" w:rsidP="000E2570">
      <w:pPr>
        <w:numPr>
          <w:ilvl w:val="0"/>
          <w:numId w:val="1"/>
        </w:numPr>
        <w:spacing w:after="120" w:line="360" w:lineRule="auto"/>
        <w:ind w:hanging="720"/>
        <w:contextualSpacing/>
        <w:jc w:val="both"/>
        <w:rPr>
          <w:rFonts w:ascii="Calibri" w:hAnsi="Calibri"/>
          <w:noProof w:val="0"/>
        </w:rPr>
      </w:pPr>
      <w:r>
        <w:rPr>
          <w:rFonts w:ascii="Calibri" w:hAnsi="Calibri"/>
          <w:noProof w:val="0"/>
          <w:rtl/>
        </w:rPr>
        <w:t xml:space="preserve">במקרה דנן, מצאתי כי קיים מצבור רב של </w:t>
      </w:r>
      <w:r w:rsidR="000E2570">
        <w:rPr>
          <w:rFonts w:ascii="Calibri" w:hAnsi="Calibri" w:hint="cs"/>
          <w:noProof w:val="0"/>
          <w:rtl/>
        </w:rPr>
        <w:t>נסיבות</w:t>
      </w:r>
      <w:r>
        <w:rPr>
          <w:rFonts w:ascii="Calibri" w:hAnsi="Calibri"/>
          <w:noProof w:val="0"/>
          <w:rtl/>
        </w:rPr>
        <w:t xml:space="preserve"> אשר סותרות את טענת התובעים לפיה כספיהם הופקדו אצל הנתבע בנאמנות ובנפרד על מנת שיושבו להם בעתיד ככל שיבקשו זאת. מסקנתי זו </w:t>
      </w:r>
      <w:r>
        <w:rPr>
          <w:sz w:val="20"/>
          <w:rtl/>
          <w:lang w:eastAsia="he-IL"/>
        </w:rPr>
        <w:t xml:space="preserve">נסמכת על התנהגות הנתבע והתובעים בקשר לכספים וכן </w:t>
      </w:r>
      <w:r w:rsidR="000E2570">
        <w:rPr>
          <w:rFonts w:hint="cs"/>
          <w:sz w:val="20"/>
          <w:rtl/>
          <w:lang w:eastAsia="he-IL"/>
        </w:rPr>
        <w:t>אינדיקציות נוספות</w:t>
      </w:r>
      <w:r>
        <w:rPr>
          <w:sz w:val="20"/>
          <w:rtl/>
          <w:lang w:eastAsia="he-IL"/>
        </w:rPr>
        <w:t xml:space="preserve">, והכל כמפורט להלן.  </w:t>
      </w:r>
    </w:p>
    <w:p w:rsidR="0071081D" w:rsidRDefault="0071081D" w:rsidP="0071081D">
      <w:pPr>
        <w:pStyle w:val="af"/>
        <w:rPr>
          <w:rFonts w:ascii="Calibri" w:hAnsi="Calibri"/>
          <w:noProof w:val="0"/>
          <w:sz w:val="12"/>
          <w:szCs w:val="12"/>
        </w:rPr>
      </w:pPr>
    </w:p>
    <w:p w:rsidR="0071081D" w:rsidRDefault="0071081D" w:rsidP="0071081D">
      <w:pPr>
        <w:spacing w:after="120" w:line="360" w:lineRule="auto"/>
        <w:contextualSpacing/>
        <w:jc w:val="both"/>
        <w:rPr>
          <w:rFonts w:ascii="Calibri" w:hAnsi="Calibri"/>
          <w:noProof w:val="0"/>
          <w:rtl/>
        </w:rPr>
      </w:pPr>
      <w:r>
        <w:rPr>
          <w:rFonts w:ascii="Calibri" w:hAnsi="Calibri"/>
          <w:b/>
          <w:bCs/>
          <w:noProof w:val="0"/>
          <w:u w:val="single"/>
          <w:rtl/>
        </w:rPr>
        <w:t>התנהלות הנתבע בכספים מנהג בעלים</w:t>
      </w:r>
      <w:r>
        <w:rPr>
          <w:rFonts w:ascii="Calibri" w:hAnsi="Calibri"/>
          <w:noProof w:val="0"/>
          <w:rtl/>
        </w:rPr>
        <w:t xml:space="preserve">: </w:t>
      </w:r>
    </w:p>
    <w:p w:rsidR="0071081D" w:rsidRDefault="0071081D" w:rsidP="0071081D">
      <w:pPr>
        <w:pStyle w:val="af"/>
        <w:rPr>
          <w:rFonts w:ascii="David" w:hAnsi="David"/>
          <w:noProof w:val="0"/>
          <w:sz w:val="12"/>
          <w:szCs w:val="12"/>
        </w:rPr>
      </w:pPr>
    </w:p>
    <w:p w:rsidR="0071081D" w:rsidRDefault="0071081D" w:rsidP="000E2570">
      <w:pPr>
        <w:numPr>
          <w:ilvl w:val="0"/>
          <w:numId w:val="1"/>
        </w:numPr>
        <w:spacing w:after="120" w:line="360" w:lineRule="auto"/>
        <w:ind w:hanging="720"/>
        <w:contextualSpacing/>
        <w:jc w:val="both"/>
        <w:rPr>
          <w:rFonts w:ascii="Calibri" w:hAnsi="Calibri"/>
          <w:noProof w:val="0"/>
          <w:rtl/>
        </w:rPr>
      </w:pPr>
      <w:r>
        <w:rPr>
          <w:rFonts w:ascii="Calibri" w:hAnsi="Calibri"/>
          <w:noProof w:val="0"/>
          <w:rtl/>
        </w:rPr>
        <w:t>התנהלות הנתבע לאורך השנים מלמדת כי בניגוד לגרסת התובעים והנתבע לפיה הנתבע שמר על כספי התובעים בנאמנות, אזי הוכח כי הנתבע נהג בכספים אלו כבשלו: הן בבנק הבינלאומי, הן בבנק דיסקונט והן לאחר מכן בחשבון המשותף ובכלל כך הפקיד כספי מזומן שלו ושיקים בסכומים קטנים שהשתכר מעבודתו, וזאת בניגוד לגרסת התובע והנתבע לפיה הוכנסו לחשבון הבנק הבינלאומי רק כספים מקופות הגמל של התובע וכספי התובעת שהועברו בשתי פעימות (ר' פירוט בסעיף 65 לסיכומי הנתבעת). כמו כן, הנתבע הקים הלוואה מ</w:t>
      </w:r>
      <w:r w:rsidR="000E2570">
        <w:rPr>
          <w:rFonts w:ascii="Calibri" w:hAnsi="Calibri" w:hint="cs"/>
          <w:noProof w:val="0"/>
          <w:rtl/>
        </w:rPr>
        <w:t>ה</w:t>
      </w:r>
      <w:r>
        <w:rPr>
          <w:rFonts w:ascii="Calibri" w:hAnsi="Calibri"/>
          <w:noProof w:val="0"/>
          <w:rtl/>
        </w:rPr>
        <w:t>חשבון</w:t>
      </w:r>
      <w:r w:rsidR="000E2570">
        <w:rPr>
          <w:rFonts w:ascii="Calibri" w:hAnsi="Calibri" w:hint="cs"/>
          <w:noProof w:val="0"/>
          <w:rtl/>
        </w:rPr>
        <w:t xml:space="preserve"> בבנק דיסקונט</w:t>
      </w:r>
      <w:r>
        <w:rPr>
          <w:rFonts w:ascii="Calibri" w:hAnsi="Calibri"/>
          <w:noProof w:val="0"/>
          <w:rtl/>
        </w:rPr>
        <w:t xml:space="preserve"> בסך של 13,000 ₪ ולא נתן כל הסבר מניח את הדעת על כך, עד שבסופו של יום טען כי מדובר בהלוואה שנטלה לאחותו התובעת (עמ' 68, ש' 12-33 לפרוט' 18.5.21). בנוסף, הנתבע הודה כי מהחשבון המשותף הוחזר סך של 37,000 ₪ למימון ישיר בגין קניית רכב (עמ' 56, ש' 1-18 לפרוט' 18.5.21). בנוסף, בחשבון הבנק המשותף המשיכו לרדת חיובים שונים כגון: כרטיסי אשראי, חשבונות פלאפון של הנתבע וכן הלוואות משותפות של הנתבעים (עמ' 57, ש' 2-9). </w:t>
      </w:r>
    </w:p>
    <w:p w:rsidR="0071081D" w:rsidRDefault="0071081D" w:rsidP="0071081D">
      <w:pPr>
        <w:spacing w:after="120" w:line="360" w:lineRule="auto"/>
        <w:ind w:left="720"/>
        <w:contextualSpacing/>
        <w:jc w:val="both"/>
        <w:rPr>
          <w:rFonts w:ascii="Calibri" w:hAnsi="Calibri"/>
          <w:noProof w:val="0"/>
          <w:sz w:val="12"/>
          <w:szCs w:val="12"/>
        </w:rPr>
      </w:pPr>
    </w:p>
    <w:p w:rsidR="0071081D" w:rsidRDefault="0071081D" w:rsidP="0071081D">
      <w:pPr>
        <w:numPr>
          <w:ilvl w:val="0"/>
          <w:numId w:val="1"/>
        </w:numPr>
        <w:spacing w:after="120" w:line="360" w:lineRule="auto"/>
        <w:ind w:hanging="720"/>
        <w:contextualSpacing/>
        <w:jc w:val="both"/>
        <w:rPr>
          <w:rFonts w:ascii="Calibri" w:hAnsi="Calibri"/>
          <w:noProof w:val="0"/>
        </w:rPr>
      </w:pPr>
      <w:r>
        <w:rPr>
          <w:rFonts w:ascii="Calibri" w:hAnsi="Calibri"/>
          <w:noProof w:val="0"/>
          <w:rtl/>
        </w:rPr>
        <w:t>כמו כן, הנתבע נמנע מלנהל תיעוד של כניסות והוצאות כספים של התובעים ולדבריו התנהלות זו היתה כה רבה עד כי היה צריך לצורך כך 10 קלסרים, וכדבריו: "</w:t>
      </w:r>
      <w:r>
        <w:rPr>
          <w:rFonts w:ascii="Calibri" w:hAnsi="Calibri"/>
          <w:b/>
          <w:bCs/>
          <w:noProof w:val="0"/>
          <w:rtl/>
        </w:rPr>
        <w:t>אם הייתי צריך לתעד הכל, הייתי צריך עוד 10 קלסרים</w:t>
      </w:r>
      <w:r>
        <w:rPr>
          <w:rFonts w:ascii="Calibri" w:hAnsi="Calibri"/>
          <w:noProof w:val="0"/>
          <w:rtl/>
        </w:rPr>
        <w:t>" (עמ' 79-80 לפרוט')</w:t>
      </w:r>
      <w:r w:rsidR="000E2570">
        <w:rPr>
          <w:rFonts w:ascii="Calibri" w:hAnsi="Calibri" w:hint="cs"/>
          <w:noProof w:val="0"/>
          <w:rtl/>
        </w:rPr>
        <w:t>, ויש בכך כדי להעיד כי הנתבע התנהל בכספים כבשלו</w:t>
      </w:r>
      <w:r>
        <w:rPr>
          <w:rFonts w:ascii="Calibri" w:hAnsi="Calibri"/>
          <w:noProof w:val="0"/>
          <w:rtl/>
        </w:rPr>
        <w:t xml:space="preserve">. </w:t>
      </w:r>
    </w:p>
    <w:p w:rsidR="0071081D" w:rsidRDefault="0071081D" w:rsidP="0071081D">
      <w:pPr>
        <w:pStyle w:val="af"/>
        <w:rPr>
          <w:rFonts w:ascii="Calibri" w:hAnsi="Calibri"/>
          <w:noProof w:val="0"/>
          <w:sz w:val="12"/>
          <w:szCs w:val="12"/>
        </w:rPr>
      </w:pPr>
    </w:p>
    <w:p w:rsidR="0071081D" w:rsidRDefault="0071081D" w:rsidP="0071081D">
      <w:pPr>
        <w:numPr>
          <w:ilvl w:val="0"/>
          <w:numId w:val="1"/>
        </w:numPr>
        <w:spacing w:after="120" w:line="360" w:lineRule="auto"/>
        <w:ind w:hanging="720"/>
        <w:contextualSpacing/>
        <w:jc w:val="both"/>
        <w:rPr>
          <w:rFonts w:ascii="Calibri" w:hAnsi="Calibri"/>
          <w:noProof w:val="0"/>
          <w:rtl/>
        </w:rPr>
      </w:pPr>
      <w:r>
        <w:rPr>
          <w:rFonts w:ascii="Calibri" w:hAnsi="Calibri"/>
          <w:noProof w:val="0"/>
          <w:rtl/>
        </w:rPr>
        <w:t>הנתבע בחר באופן תמוה להעביר את הכספים מ</w:t>
      </w:r>
      <w:r w:rsidR="000E2570">
        <w:rPr>
          <w:rFonts w:ascii="Calibri" w:hAnsi="Calibri" w:hint="cs"/>
          <w:noProof w:val="0"/>
          <w:rtl/>
        </w:rPr>
        <w:t>ה</w:t>
      </w:r>
      <w:r>
        <w:rPr>
          <w:rFonts w:ascii="Calibri" w:hAnsi="Calibri"/>
          <w:noProof w:val="0"/>
          <w:rtl/>
        </w:rPr>
        <w:t>חשבון בבנק לאומי לבנק דיסקונט בארבע פעימות שונות ובמזומן תוך שבכל פעם הוא קיזז סכומים שונים מתוך הכספים ובסך הכל קיזז 12,000 ₪ מבלי שנתן כל הסבר לכך. לאחר שעומת עם עובדה זו השיב הנתבע כי ככל הנראה היו צריכים לשלם לעו"ד ולכן פעל כאמור. עדותו של הנתבע בעניין זה היתה מתחמקת ומתפתלת (עמ' 72, ש' 14- עמ' 74, ש' 11)</w:t>
      </w:r>
      <w:r w:rsidR="000E2570">
        <w:rPr>
          <w:rFonts w:ascii="Calibri" w:hAnsi="Calibri" w:hint="cs"/>
          <w:noProof w:val="0"/>
          <w:rtl/>
        </w:rPr>
        <w:t xml:space="preserve"> ואף בהתנהלות זו י</w:t>
      </w:r>
      <w:r w:rsidR="00D454CD">
        <w:rPr>
          <w:rFonts w:ascii="Calibri" w:hAnsi="Calibri" w:hint="cs"/>
          <w:noProof w:val="0"/>
          <w:rtl/>
        </w:rPr>
        <w:t>ש כדי ללמד על מנהג בעלים בכספים הנטענים</w:t>
      </w:r>
      <w:r>
        <w:rPr>
          <w:rFonts w:ascii="Calibri" w:hAnsi="Calibri"/>
          <w:noProof w:val="0"/>
          <w:rtl/>
        </w:rPr>
        <w:t xml:space="preserve">. </w:t>
      </w:r>
    </w:p>
    <w:p w:rsidR="0071081D" w:rsidRDefault="0071081D" w:rsidP="0071081D">
      <w:pPr>
        <w:pStyle w:val="af"/>
        <w:rPr>
          <w:rFonts w:ascii="Calibri" w:hAnsi="Calibri"/>
          <w:noProof w:val="0"/>
          <w:sz w:val="12"/>
          <w:szCs w:val="12"/>
        </w:rPr>
      </w:pPr>
    </w:p>
    <w:p w:rsidR="0071081D" w:rsidRDefault="0071081D" w:rsidP="00D454CD">
      <w:pPr>
        <w:numPr>
          <w:ilvl w:val="0"/>
          <w:numId w:val="1"/>
        </w:numPr>
        <w:spacing w:after="120" w:line="360" w:lineRule="auto"/>
        <w:ind w:hanging="720"/>
        <w:contextualSpacing/>
        <w:jc w:val="both"/>
        <w:rPr>
          <w:rFonts w:ascii="Calibri" w:hAnsi="Calibri"/>
          <w:noProof w:val="0"/>
          <w:rtl/>
        </w:rPr>
      </w:pPr>
      <w:r>
        <w:rPr>
          <w:rFonts w:ascii="Calibri" w:hAnsi="Calibri"/>
          <w:noProof w:val="0"/>
          <w:rtl/>
        </w:rPr>
        <w:t>הנתבע בחר להעביר את הכספים לחשבון הבנק המשותף ולא נתן כל הסבר מניח את הדעת לכך למעט טענתו כי הדבר נעשה "לנוחותו". כשנשאל הנתבע על כך, השיב כי עשה כן על מנת להוריד את המינוס בחשבון המשותף</w:t>
      </w:r>
      <w:r w:rsidR="00D454CD">
        <w:rPr>
          <w:rFonts w:ascii="Calibri" w:hAnsi="Calibri" w:hint="cs"/>
          <w:noProof w:val="0"/>
          <w:rtl/>
        </w:rPr>
        <w:t xml:space="preserve">. אולם, </w:t>
      </w:r>
      <w:r>
        <w:rPr>
          <w:rFonts w:ascii="Calibri" w:hAnsi="Calibri"/>
          <w:noProof w:val="0"/>
          <w:rtl/>
        </w:rPr>
        <w:t xml:space="preserve">מלבד העובדה כי יש בתשובה זו כשלעצמה כדי להעיד על </w:t>
      </w:r>
      <w:r w:rsidR="00D454CD">
        <w:rPr>
          <w:rFonts w:ascii="Calibri" w:hAnsi="Calibri" w:hint="cs"/>
          <w:noProof w:val="0"/>
          <w:rtl/>
        </w:rPr>
        <w:t>מנהג</w:t>
      </w:r>
      <w:r>
        <w:rPr>
          <w:rFonts w:ascii="Calibri" w:hAnsi="Calibri"/>
          <w:noProof w:val="0"/>
          <w:rtl/>
        </w:rPr>
        <w:t xml:space="preserve"> בעלים בכספים </w:t>
      </w:r>
      <w:r w:rsidR="00D454CD">
        <w:rPr>
          <w:rFonts w:ascii="Calibri" w:hAnsi="Calibri" w:hint="cs"/>
          <w:noProof w:val="0"/>
          <w:rtl/>
        </w:rPr>
        <w:t>הנטענים</w:t>
      </w:r>
      <w:r>
        <w:rPr>
          <w:rFonts w:ascii="Calibri" w:hAnsi="Calibri"/>
          <w:noProof w:val="0"/>
          <w:rtl/>
        </w:rPr>
        <w:t xml:space="preserve">, </w:t>
      </w:r>
      <w:r w:rsidR="00D454CD">
        <w:rPr>
          <w:rFonts w:ascii="Calibri" w:hAnsi="Calibri" w:hint="cs"/>
          <w:noProof w:val="0"/>
          <w:rtl/>
        </w:rPr>
        <w:t xml:space="preserve">הוכח כי </w:t>
      </w:r>
      <w:r>
        <w:rPr>
          <w:rFonts w:ascii="Calibri" w:hAnsi="Calibri"/>
          <w:noProof w:val="0"/>
          <w:rtl/>
        </w:rPr>
        <w:t xml:space="preserve">אין בתשובה זו ממש. מהתדפיסים עלה כי בעת העברת הכספים </w:t>
      </w:r>
      <w:r>
        <w:rPr>
          <w:rFonts w:ascii="Calibri" w:hAnsi="Calibri"/>
          <w:noProof w:val="0"/>
          <w:rtl/>
        </w:rPr>
        <w:lastRenderedPageBreak/>
        <w:t xml:space="preserve">לחשבון המשותף, היתרה בחשבון המשותף היתה בזכות של 27,000 ₪ (עמ' 81, ש' 1-28; עמ' 82, ש' 22-24 לפרוט' 18.5.21) </w:t>
      </w:r>
      <w:r w:rsidR="00D454CD">
        <w:rPr>
          <w:rFonts w:ascii="Calibri" w:hAnsi="Calibri" w:hint="cs"/>
          <w:noProof w:val="0"/>
          <w:rtl/>
        </w:rPr>
        <w:t xml:space="preserve">ועניין זה נזקף לחובת הנתבע. </w:t>
      </w:r>
    </w:p>
    <w:p w:rsidR="0071081D" w:rsidRDefault="0071081D" w:rsidP="0071081D">
      <w:pPr>
        <w:pStyle w:val="af"/>
        <w:rPr>
          <w:rFonts w:ascii="Calibri" w:hAnsi="Calibri"/>
          <w:noProof w:val="0"/>
          <w:sz w:val="12"/>
          <w:szCs w:val="12"/>
        </w:rPr>
      </w:pPr>
    </w:p>
    <w:p w:rsidR="0071081D" w:rsidRDefault="0071081D" w:rsidP="00D42F16">
      <w:pPr>
        <w:numPr>
          <w:ilvl w:val="0"/>
          <w:numId w:val="1"/>
        </w:numPr>
        <w:spacing w:after="120" w:line="360" w:lineRule="auto"/>
        <w:ind w:hanging="720"/>
        <w:contextualSpacing/>
        <w:jc w:val="both"/>
        <w:rPr>
          <w:rFonts w:ascii="Calibri" w:hAnsi="Calibri"/>
          <w:noProof w:val="0"/>
          <w:rtl/>
        </w:rPr>
      </w:pPr>
      <w:r>
        <w:rPr>
          <w:rFonts w:ascii="Calibri" w:hAnsi="Calibri"/>
          <w:noProof w:val="0"/>
          <w:rtl/>
        </w:rPr>
        <w:t xml:space="preserve">יוצא אפוא כי בניגוד לתפקידו של הנתבע כנאמן </w:t>
      </w:r>
      <w:r w:rsidR="00D454CD">
        <w:rPr>
          <w:rFonts w:ascii="Calibri" w:hAnsi="Calibri" w:hint="cs"/>
          <w:noProof w:val="0"/>
          <w:rtl/>
        </w:rPr>
        <w:t xml:space="preserve">כביכול </w:t>
      </w:r>
      <w:r>
        <w:rPr>
          <w:rFonts w:ascii="Calibri" w:hAnsi="Calibri"/>
          <w:noProof w:val="0"/>
          <w:rtl/>
        </w:rPr>
        <w:t>על הכספים, הנתבע פעל ב</w:t>
      </w:r>
      <w:r w:rsidR="00D454CD">
        <w:rPr>
          <w:rFonts w:ascii="Calibri" w:hAnsi="Calibri" w:hint="cs"/>
          <w:noProof w:val="0"/>
          <w:rtl/>
        </w:rPr>
        <w:t>דיוק</w:t>
      </w:r>
      <w:r>
        <w:rPr>
          <w:rFonts w:ascii="Calibri" w:hAnsi="Calibri"/>
          <w:noProof w:val="0"/>
          <w:rtl/>
        </w:rPr>
        <w:t xml:space="preserve"> ההיפך. הנתבע פעל מנהג בעלים בכספים אלו, לא החזיק כספים אלו בנפרד מנכסים אחרים או בדרך המאפשרת להבחין ביניהם, עשה בכספים אלו כבשלו ואף ערבב את הכספים עם הכספים המשותפים של בני הזוג שנועדו לצרכי הבית והמשפחה. </w:t>
      </w:r>
    </w:p>
    <w:p w:rsidR="0071081D" w:rsidRDefault="0071081D" w:rsidP="0071081D">
      <w:pPr>
        <w:pStyle w:val="af"/>
        <w:rPr>
          <w:rFonts w:ascii="Calibri" w:hAnsi="Calibri"/>
          <w:noProof w:val="0"/>
          <w:sz w:val="12"/>
          <w:szCs w:val="12"/>
        </w:rPr>
      </w:pPr>
    </w:p>
    <w:p w:rsidR="0071081D" w:rsidRDefault="0071081D" w:rsidP="00D454CD">
      <w:pPr>
        <w:numPr>
          <w:ilvl w:val="0"/>
          <w:numId w:val="1"/>
        </w:numPr>
        <w:spacing w:after="120" w:line="360" w:lineRule="auto"/>
        <w:ind w:hanging="720"/>
        <w:contextualSpacing/>
        <w:jc w:val="both"/>
        <w:rPr>
          <w:rFonts w:ascii="Calibri" w:hAnsi="Calibri"/>
          <w:noProof w:val="0"/>
          <w:rtl/>
        </w:rPr>
      </w:pPr>
      <w:r>
        <w:rPr>
          <w:rFonts w:ascii="Calibri" w:hAnsi="Calibri"/>
          <w:noProof w:val="0"/>
          <w:rtl/>
        </w:rPr>
        <w:t xml:space="preserve">יצוין כי הנתבע אישר כי במקביל לעבודתו בחברת דן היתה לו עבודה נוספת כעצמאי בתחום המחשבים משנת 2010 ועד למועד הסכסוך בין הצדדים בשנת 2019 והרוויח כספים במזומן. עוד העיד הנתבע כי למעט בשנים 2011 ו-2013 הוא לא הגיש דיווח על הכנסות אלו. אין חולק כי לאורך השנים הנתבע התנהל במזומן בתשלומים וברכישות לבית (ר' עמ' 66, ש' 24-32 לפרוט' 18.5.21). כן הוכח כי </w:t>
      </w:r>
      <w:r w:rsidR="00D454CD">
        <w:rPr>
          <w:rFonts w:ascii="Calibri" w:hAnsi="Calibri" w:hint="cs"/>
          <w:noProof w:val="0"/>
          <w:rtl/>
        </w:rPr>
        <w:t xml:space="preserve">הנתבע </w:t>
      </w:r>
      <w:r>
        <w:rPr>
          <w:rFonts w:ascii="Calibri" w:hAnsi="Calibri"/>
          <w:noProof w:val="0"/>
          <w:rtl/>
        </w:rPr>
        <w:t>הפקיד כספים בסכומים קטנים גם לחשבון הבינלאומי ודיסקונט בו הוחזקו כנטען כספיהם של התובעים (עמ' 68, ש' 10-13). גם לאחר שהועברו הכספים לחשבון המשותף, בוצעו הפקדות מידי פעם במזומן (עמ' 70, ש' 2-6). בנסיבות אלו, בהן הנתבע התנהל במזומן, רב הנסתר על הגלוי ו</w:t>
      </w:r>
      <w:r w:rsidR="00D454CD">
        <w:rPr>
          <w:rFonts w:ascii="Calibri" w:hAnsi="Calibri" w:hint="cs"/>
          <w:noProof w:val="0"/>
          <w:rtl/>
        </w:rPr>
        <w:t xml:space="preserve">על </w:t>
      </w:r>
      <w:r>
        <w:rPr>
          <w:rFonts w:ascii="Calibri" w:hAnsi="Calibri"/>
          <w:noProof w:val="0"/>
          <w:rtl/>
        </w:rPr>
        <w:t xml:space="preserve">כן גרסת הנתבעת לפיה חלק מהכספים נותבו במזומן לצרכים שונים לרבות הוצאות של התובע ו/או החזרי כספים לתובעת, הינה מסתברת בנסיבות העניין. </w:t>
      </w:r>
      <w:r w:rsidR="00D454CD">
        <w:rPr>
          <w:rFonts w:ascii="Calibri" w:hAnsi="Calibri" w:hint="cs"/>
          <w:noProof w:val="0"/>
          <w:rtl/>
        </w:rPr>
        <w:t xml:space="preserve">בנוסף עלה כי הנתבע לא דיווח על כספים אלו ככספי נאמנות של התובעים, וגם בכך יש ראיה נוספת לכך שלא מדובר בכספם של התובעים. </w:t>
      </w:r>
    </w:p>
    <w:p w:rsidR="0071081D" w:rsidRDefault="0071081D" w:rsidP="0071081D">
      <w:pPr>
        <w:pStyle w:val="af"/>
        <w:rPr>
          <w:rFonts w:ascii="Calibri" w:hAnsi="Calibri"/>
          <w:noProof w:val="0"/>
          <w:sz w:val="12"/>
          <w:szCs w:val="12"/>
        </w:rPr>
      </w:pPr>
    </w:p>
    <w:p w:rsidR="0071081D" w:rsidRDefault="0071081D" w:rsidP="0071081D">
      <w:pPr>
        <w:spacing w:after="120" w:line="360" w:lineRule="auto"/>
        <w:contextualSpacing/>
        <w:jc w:val="both"/>
        <w:rPr>
          <w:rFonts w:ascii="Calibri" w:hAnsi="Calibri"/>
          <w:noProof w:val="0"/>
          <w:rtl/>
        </w:rPr>
      </w:pPr>
      <w:r>
        <w:rPr>
          <w:rFonts w:ascii="Calibri" w:hAnsi="Calibri"/>
          <w:b/>
          <w:bCs/>
          <w:noProof w:val="0"/>
          <w:u w:val="single"/>
          <w:rtl/>
        </w:rPr>
        <w:t>הימנעות התובעים להציג את מלוא הראיות</w:t>
      </w:r>
      <w:r>
        <w:rPr>
          <w:rFonts w:ascii="Calibri" w:hAnsi="Calibri"/>
          <w:noProof w:val="0"/>
          <w:rtl/>
        </w:rPr>
        <w:t xml:space="preserve">: </w:t>
      </w:r>
    </w:p>
    <w:p w:rsidR="0071081D" w:rsidRDefault="0071081D" w:rsidP="0071081D">
      <w:pPr>
        <w:pStyle w:val="af"/>
        <w:rPr>
          <w:rFonts w:ascii="Calibri" w:hAnsi="Calibri"/>
          <w:noProof w:val="0"/>
        </w:rPr>
      </w:pPr>
    </w:p>
    <w:p w:rsidR="0071081D" w:rsidRDefault="0071081D" w:rsidP="00D454CD">
      <w:pPr>
        <w:numPr>
          <w:ilvl w:val="0"/>
          <w:numId w:val="1"/>
        </w:numPr>
        <w:spacing w:after="120" w:line="360" w:lineRule="auto"/>
        <w:ind w:hanging="720"/>
        <w:contextualSpacing/>
        <w:jc w:val="both"/>
        <w:rPr>
          <w:rFonts w:ascii="Calibri" w:hAnsi="Calibri"/>
          <w:noProof w:val="0"/>
          <w:rtl/>
        </w:rPr>
      </w:pPr>
      <w:r>
        <w:rPr>
          <w:rFonts w:ascii="Calibri" w:hAnsi="Calibri"/>
          <w:noProof w:val="0"/>
          <w:rtl/>
        </w:rPr>
        <w:t>כאמור, התובעים נמנעו להמציא ראיות משמעותיות להוכחת תביעתם. כך, למשל, התובעים נמנעו מלצרף את כל תדפיסי החשבון לחשבונות הבנק הנטענים עבור כל התקופה. כנשאל התובע מדוע לא צירף את תדפיסי החשבון, השיב "</w:t>
      </w:r>
      <w:r w:rsidRPr="00D454CD">
        <w:rPr>
          <w:rFonts w:ascii="Calibri" w:hAnsi="Calibri"/>
          <w:b/>
          <w:bCs/>
          <w:noProof w:val="0"/>
          <w:rtl/>
        </w:rPr>
        <w:t>אין לי מושג</w:t>
      </w:r>
      <w:r>
        <w:rPr>
          <w:rFonts w:ascii="Calibri" w:hAnsi="Calibri"/>
          <w:noProof w:val="0"/>
          <w:rtl/>
        </w:rPr>
        <w:t>" וכי "</w:t>
      </w:r>
      <w:r w:rsidRPr="00D454CD">
        <w:rPr>
          <w:rFonts w:ascii="Calibri" w:hAnsi="Calibri"/>
          <w:b/>
          <w:bCs/>
          <w:noProof w:val="0"/>
          <w:rtl/>
        </w:rPr>
        <w:t>לא היו תנועות בחשבון בזמן הזה</w:t>
      </w:r>
      <w:r>
        <w:rPr>
          <w:rFonts w:ascii="Calibri" w:hAnsi="Calibri"/>
          <w:noProof w:val="0"/>
          <w:rtl/>
        </w:rPr>
        <w:t>" (עמ' 39, ש' 28 לפרו</w:t>
      </w:r>
      <w:r w:rsidR="00D454CD">
        <w:rPr>
          <w:rFonts w:ascii="Calibri" w:hAnsi="Calibri"/>
          <w:noProof w:val="0"/>
          <w:rtl/>
        </w:rPr>
        <w:t>ט' 18.5.21), תשובה שאינה סבירה</w:t>
      </w:r>
      <w:r w:rsidR="00D454CD">
        <w:rPr>
          <w:rFonts w:ascii="Calibri" w:hAnsi="Calibri" w:hint="cs"/>
          <w:noProof w:val="0"/>
          <w:rtl/>
        </w:rPr>
        <w:t xml:space="preserve"> בנסיבות העניין ובפרט משעל התובעים מוטל נטל הראיה וההוכחה. </w:t>
      </w:r>
    </w:p>
    <w:p w:rsidR="0071081D" w:rsidRDefault="0071081D" w:rsidP="0071081D">
      <w:pPr>
        <w:spacing w:after="120" w:line="360" w:lineRule="auto"/>
        <w:ind w:left="720"/>
        <w:contextualSpacing/>
        <w:jc w:val="both"/>
        <w:rPr>
          <w:rFonts w:ascii="Calibri" w:hAnsi="Calibri"/>
          <w:noProof w:val="0"/>
          <w:sz w:val="12"/>
          <w:szCs w:val="12"/>
        </w:rPr>
      </w:pPr>
    </w:p>
    <w:p w:rsidR="0071081D" w:rsidRDefault="0071081D" w:rsidP="0071081D">
      <w:pPr>
        <w:numPr>
          <w:ilvl w:val="0"/>
          <w:numId w:val="1"/>
        </w:numPr>
        <w:spacing w:after="120" w:line="360" w:lineRule="auto"/>
        <w:ind w:hanging="720"/>
        <w:contextualSpacing/>
        <w:jc w:val="both"/>
        <w:rPr>
          <w:rFonts w:ascii="Calibri" w:hAnsi="Calibri"/>
          <w:noProof w:val="0"/>
        </w:rPr>
      </w:pPr>
      <w:r>
        <w:rPr>
          <w:rFonts w:ascii="Calibri" w:hAnsi="Calibri"/>
          <w:noProof w:val="0"/>
          <w:rtl/>
        </w:rPr>
        <w:t xml:space="preserve">בנוסף, חרף טענותיו של התובע לפיהן היו לו הוצאות רבות לעורכי הדין בהליך הפלילי וכן הוצאות קיום לרבות קנטינה, הוא לא סיפק אסמכתאות ו/או תיעוד על הוצאותיו. התובע אישר כי יוצג ע"י בכירי עורכי הדין בישראל שעלות שכר טרחתם גבוהה מאד (ר' בעמ' 34, ש' 27 ואילך; עמ' 35, ש' 32, עמ' 36, ש' 1), אולם התובע לא המציא את הסכמי שכר הטרחה וחשבוניות, לא פירט מאילו מקורות שולמו הכספים, לא פירט את הוצאות המחיה לרבות תשלומים לקנטינה על מנת שניתן יהיה לבחון את טענותיו.  </w:t>
      </w:r>
    </w:p>
    <w:p w:rsidR="0071081D" w:rsidRDefault="0071081D" w:rsidP="0071081D">
      <w:pPr>
        <w:spacing w:after="120" w:line="360" w:lineRule="auto"/>
        <w:ind w:left="720"/>
        <w:contextualSpacing/>
        <w:jc w:val="both"/>
        <w:rPr>
          <w:rFonts w:ascii="Calibri" w:hAnsi="Calibri"/>
          <w:noProof w:val="0"/>
          <w:sz w:val="12"/>
          <w:szCs w:val="12"/>
        </w:rPr>
      </w:pPr>
    </w:p>
    <w:p w:rsidR="0071081D" w:rsidRDefault="0071081D" w:rsidP="00D454CD">
      <w:pPr>
        <w:numPr>
          <w:ilvl w:val="0"/>
          <w:numId w:val="1"/>
        </w:numPr>
        <w:spacing w:after="120" w:line="360" w:lineRule="auto"/>
        <w:ind w:hanging="720"/>
        <w:contextualSpacing/>
        <w:jc w:val="both"/>
        <w:rPr>
          <w:rFonts w:ascii="Calibri" w:hAnsi="Calibri"/>
          <w:noProof w:val="0"/>
        </w:rPr>
      </w:pPr>
      <w:r>
        <w:rPr>
          <w:rFonts w:ascii="Calibri" w:hAnsi="Calibri"/>
          <w:noProof w:val="0"/>
          <w:rtl/>
        </w:rPr>
        <w:t xml:space="preserve">כמו כן, הנתבע לא סיפק כל מידע אודות תביעות צדדי ג' ולא ניתן לדעת כמה תביעות צדדי ג' הוגשו כנגד התובע. כל שהעיד התובע, במענה לשאלה שנשאל בחקירתו, הוא כי היתה קיימת תביעה אחת </w:t>
      </w:r>
      <w:r>
        <w:rPr>
          <w:rFonts w:ascii="Calibri" w:hAnsi="Calibri"/>
          <w:noProof w:val="0"/>
          <w:rtl/>
        </w:rPr>
        <w:lastRenderedPageBreak/>
        <w:t>כנגדו בסכום של 600,000 ₪ (עמ' 33, ש' 15-24) תוך שהודה כי היו בפועל 10 נפגעי</w:t>
      </w:r>
      <w:r w:rsidR="00D454CD">
        <w:rPr>
          <w:rFonts w:ascii="Calibri" w:hAnsi="Calibri" w:hint="cs"/>
          <w:noProof w:val="0"/>
          <w:rtl/>
        </w:rPr>
        <w:t xml:space="preserve"> עבירה. שומה היה על התובע להמציא תיעוד מלא של כל הנתונים וב"קלפים פתוחים"</w:t>
      </w:r>
      <w:r>
        <w:rPr>
          <w:rFonts w:ascii="Calibri" w:hAnsi="Calibri"/>
          <w:noProof w:val="0"/>
          <w:rtl/>
        </w:rPr>
        <w:t xml:space="preserve">. </w:t>
      </w:r>
    </w:p>
    <w:p w:rsidR="0071081D" w:rsidRDefault="0071081D" w:rsidP="0071081D">
      <w:pPr>
        <w:pStyle w:val="af"/>
        <w:rPr>
          <w:rFonts w:ascii="Calibri" w:hAnsi="Calibri"/>
          <w:noProof w:val="0"/>
          <w:sz w:val="12"/>
          <w:szCs w:val="12"/>
        </w:rPr>
      </w:pPr>
    </w:p>
    <w:p w:rsidR="0071081D" w:rsidRDefault="0071081D" w:rsidP="006A26C3">
      <w:pPr>
        <w:numPr>
          <w:ilvl w:val="0"/>
          <w:numId w:val="1"/>
        </w:numPr>
        <w:spacing w:after="120" w:line="360" w:lineRule="auto"/>
        <w:ind w:hanging="720"/>
        <w:contextualSpacing/>
        <w:jc w:val="both"/>
        <w:rPr>
          <w:rtl/>
        </w:rPr>
      </w:pPr>
      <w:r>
        <w:rPr>
          <w:rtl/>
        </w:rPr>
        <w:t>בנוסף, התובע העיד היו לו גם כספים אחרים שאחיו מ</w:t>
      </w:r>
      <w:r w:rsidR="006A26C3">
        <w:rPr>
          <w:rFonts w:hint="cs"/>
          <w:rtl/>
        </w:rPr>
        <w:t>'</w:t>
      </w:r>
      <w:r>
        <w:rPr>
          <w:rtl/>
        </w:rPr>
        <w:t xml:space="preserve"> שילם לעורכי הדין שניהלו את ההליך הפלילי, אולם אלו נגמרו. למותר לציין כי התובע לא הביא כל תיעוד על כך. כן, לדבריו הוא חייב כספים לאחיו מ</w:t>
      </w:r>
      <w:r w:rsidR="006A26C3">
        <w:rPr>
          <w:rFonts w:hint="cs"/>
          <w:rtl/>
        </w:rPr>
        <w:t>'</w:t>
      </w:r>
      <w:r>
        <w:rPr>
          <w:rtl/>
        </w:rPr>
        <w:t xml:space="preserve"> וכדבריו: "</w:t>
      </w:r>
      <w:r>
        <w:rPr>
          <w:b/>
          <w:bCs/>
          <w:rtl/>
        </w:rPr>
        <w:t>לקחתי כספים מאחי, אחי הלווה לי, מ</w:t>
      </w:r>
      <w:r w:rsidR="006A26C3">
        <w:rPr>
          <w:rFonts w:hint="cs"/>
          <w:b/>
          <w:bCs/>
          <w:rtl/>
        </w:rPr>
        <w:t>'</w:t>
      </w:r>
      <w:r w:rsidR="006A26C3">
        <w:rPr>
          <w:rFonts w:hint="cs"/>
          <w:rtl/>
        </w:rPr>
        <w:t>"</w:t>
      </w:r>
      <w:r>
        <w:rPr>
          <w:rtl/>
        </w:rPr>
        <w:t xml:space="preserve"> (עמ' 36, ש' 6-9). עדות זו עומדת בסתירה לטענתו של התובע לפיה היו לתובע כספים שמורים אצל הנתבע. לא ברור מדוע במצב שבו יש לתובע כביכול כספים אצל הנתבע, נאלץ לקחת הלוואה מאחיו מ</w:t>
      </w:r>
      <w:r w:rsidR="006A26C3">
        <w:rPr>
          <w:rFonts w:hint="cs"/>
          <w:rtl/>
        </w:rPr>
        <w:t>'</w:t>
      </w:r>
      <w:r>
        <w:rPr>
          <w:rtl/>
        </w:rPr>
        <w:t>. למותר לציין כי התובע לא הביא לעדות את האח מ</w:t>
      </w:r>
      <w:r w:rsidR="006A26C3">
        <w:rPr>
          <w:rFonts w:hint="cs"/>
          <w:rtl/>
        </w:rPr>
        <w:t>'</w:t>
      </w:r>
      <w:r>
        <w:rPr>
          <w:rtl/>
        </w:rPr>
        <w:t xml:space="preserve"> על מנת לבסס את טענתו ועניין זה נזקף לחובתו. </w:t>
      </w:r>
    </w:p>
    <w:p w:rsidR="0071081D" w:rsidRDefault="0071081D" w:rsidP="0071081D">
      <w:pPr>
        <w:pStyle w:val="af"/>
        <w:rPr>
          <w:sz w:val="12"/>
          <w:szCs w:val="12"/>
        </w:rPr>
      </w:pPr>
    </w:p>
    <w:p w:rsidR="0071081D" w:rsidRDefault="0071081D" w:rsidP="0071081D">
      <w:pPr>
        <w:numPr>
          <w:ilvl w:val="0"/>
          <w:numId w:val="1"/>
        </w:numPr>
        <w:spacing w:after="120" w:line="360" w:lineRule="auto"/>
        <w:ind w:hanging="720"/>
        <w:contextualSpacing/>
        <w:jc w:val="both"/>
        <w:rPr>
          <w:rFonts w:ascii="Calibri" w:hAnsi="Calibri"/>
          <w:noProof w:val="0"/>
          <w:rtl/>
        </w:rPr>
      </w:pPr>
      <w:r>
        <w:rPr>
          <w:noProof w:val="0"/>
          <w:rtl/>
        </w:rPr>
        <w:t xml:space="preserve">הלכה פסוקה היא כי חזקה על בעל דין שלא ימנע מבית המשפט ראיה שתהא לטובתו ואם נמנע התובע מהבאת ראיה, אשר לפי תכתיב השכל הישר היתה תורמת לגילוי האמת, יש להניח כי ראיה זו היתה פועלת לרעתו (יעויין, למשל, בע"א 465/88 </w:t>
      </w:r>
      <w:r>
        <w:rPr>
          <w:b/>
          <w:bCs/>
          <w:noProof w:val="0"/>
          <w:u w:val="single"/>
          <w:rtl/>
        </w:rPr>
        <w:t>הבנק למימון נ' סלימה</w:t>
      </w:r>
      <w:r>
        <w:rPr>
          <w:noProof w:val="0"/>
          <w:rtl/>
        </w:rPr>
        <w:t xml:space="preserve">, פ"ד מה (4) 655). בנסיבות אלו, משנטל ההוכחה מוטל על התובעים ומשהתובעים נמנעו להביא ראיות אשר היו תורמות בהכרח לגילוי האמת, יש לזקוף התנהלות זו לחובתם. </w:t>
      </w:r>
    </w:p>
    <w:p w:rsidR="0071081D" w:rsidRDefault="0071081D" w:rsidP="0071081D">
      <w:pPr>
        <w:pStyle w:val="af"/>
      </w:pPr>
    </w:p>
    <w:p w:rsidR="0071081D" w:rsidRDefault="0071081D" w:rsidP="0071081D">
      <w:pPr>
        <w:spacing w:after="120" w:line="360" w:lineRule="auto"/>
        <w:contextualSpacing/>
        <w:jc w:val="both"/>
        <w:rPr>
          <w:highlight w:val="yellow"/>
          <w:rtl/>
        </w:rPr>
      </w:pPr>
      <w:r>
        <w:rPr>
          <w:rFonts w:ascii="Calibri" w:hAnsi="Calibri"/>
          <w:b/>
          <w:bCs/>
          <w:noProof w:val="0"/>
          <w:u w:val="single"/>
          <w:rtl/>
        </w:rPr>
        <w:t>סתירות ותמיהות בגרסאות התובעים והנתבע</w:t>
      </w:r>
      <w:r>
        <w:rPr>
          <w:rFonts w:ascii="Calibri" w:hAnsi="Calibri"/>
          <w:noProof w:val="0"/>
          <w:rtl/>
        </w:rPr>
        <w:t xml:space="preserve">: </w:t>
      </w:r>
    </w:p>
    <w:p w:rsidR="0071081D" w:rsidRDefault="0071081D" w:rsidP="0071081D">
      <w:pPr>
        <w:pStyle w:val="af"/>
        <w:rPr>
          <w:rFonts w:ascii="Calibri" w:hAnsi="Calibri"/>
          <w:noProof w:val="0"/>
          <w:sz w:val="12"/>
          <w:szCs w:val="12"/>
          <w:highlight w:val="yellow"/>
        </w:rPr>
      </w:pPr>
    </w:p>
    <w:p w:rsidR="0071081D" w:rsidRDefault="0071081D" w:rsidP="00D454CD">
      <w:pPr>
        <w:numPr>
          <w:ilvl w:val="0"/>
          <w:numId w:val="1"/>
        </w:numPr>
        <w:spacing w:after="120" w:line="360" w:lineRule="auto"/>
        <w:ind w:hanging="720"/>
        <w:contextualSpacing/>
        <w:jc w:val="both"/>
        <w:rPr>
          <w:rtl/>
        </w:rPr>
      </w:pPr>
      <w:r>
        <w:rPr>
          <w:rFonts w:ascii="Calibri" w:hAnsi="Calibri"/>
          <w:noProof w:val="0"/>
          <w:rtl/>
        </w:rPr>
        <w:t xml:space="preserve">בגרסאותיהם של התובעים וכן בגרסתו של הנתבע נתגלו תמיהות ותהיות רבות שיש בהן כדי לפגום במהימנות </w:t>
      </w:r>
      <w:r w:rsidR="00D454CD">
        <w:rPr>
          <w:rFonts w:ascii="Calibri" w:hAnsi="Calibri" w:hint="cs"/>
          <w:noProof w:val="0"/>
          <w:rtl/>
        </w:rPr>
        <w:t>עדותם</w:t>
      </w:r>
      <w:r>
        <w:rPr>
          <w:rFonts w:ascii="Calibri" w:hAnsi="Calibri"/>
          <w:noProof w:val="0"/>
          <w:rtl/>
        </w:rPr>
        <w:t xml:space="preserve">, ואפרט: </w:t>
      </w:r>
    </w:p>
    <w:p w:rsidR="0071081D" w:rsidRDefault="0071081D" w:rsidP="0071081D">
      <w:pPr>
        <w:spacing w:after="120" w:line="360" w:lineRule="auto"/>
        <w:ind w:left="720"/>
        <w:contextualSpacing/>
        <w:jc w:val="both"/>
        <w:rPr>
          <w:sz w:val="12"/>
          <w:szCs w:val="12"/>
        </w:rPr>
      </w:pPr>
    </w:p>
    <w:p w:rsidR="0071081D" w:rsidRDefault="0071081D" w:rsidP="0071081D">
      <w:pPr>
        <w:numPr>
          <w:ilvl w:val="0"/>
          <w:numId w:val="1"/>
        </w:numPr>
        <w:spacing w:after="120" w:line="360" w:lineRule="auto"/>
        <w:ind w:hanging="720"/>
        <w:contextualSpacing/>
        <w:jc w:val="both"/>
      </w:pPr>
      <w:r>
        <w:rPr>
          <w:u w:val="single"/>
          <w:rtl/>
        </w:rPr>
        <w:t>ראשית</w:t>
      </w:r>
      <w:r>
        <w:rPr>
          <w:rtl/>
        </w:rPr>
        <w:t xml:space="preserve">, לא ניתן הסבר מדוע יפוי הכוח של התובע לשחרור הכספים נחתם ביום 8.7.2007 וזאת לאחר </w:t>
      </w:r>
      <w:r w:rsidR="00D454CD">
        <w:rPr>
          <w:rFonts w:hint="cs"/>
          <w:rtl/>
        </w:rPr>
        <w:t>כ</w:t>
      </w:r>
      <w:r>
        <w:rPr>
          <w:rtl/>
        </w:rPr>
        <w:t xml:space="preserve">שלוש וחצי שנים שהתובע החל לרצות את עונש המאסר. </w:t>
      </w:r>
    </w:p>
    <w:p w:rsidR="0071081D" w:rsidRDefault="0071081D" w:rsidP="0071081D">
      <w:pPr>
        <w:pStyle w:val="af"/>
        <w:rPr>
          <w:sz w:val="12"/>
          <w:szCs w:val="12"/>
        </w:rPr>
      </w:pPr>
    </w:p>
    <w:p w:rsidR="0071081D" w:rsidRDefault="0071081D" w:rsidP="0071081D">
      <w:pPr>
        <w:numPr>
          <w:ilvl w:val="0"/>
          <w:numId w:val="1"/>
        </w:numPr>
        <w:spacing w:after="120" w:line="360" w:lineRule="auto"/>
        <w:ind w:hanging="720"/>
        <w:contextualSpacing/>
        <w:jc w:val="both"/>
        <w:rPr>
          <w:rtl/>
        </w:rPr>
      </w:pPr>
      <w:r>
        <w:rPr>
          <w:u w:val="single"/>
          <w:rtl/>
        </w:rPr>
        <w:t>שנית</w:t>
      </w:r>
      <w:r>
        <w:rPr>
          <w:rtl/>
        </w:rPr>
        <w:t xml:space="preserve">, לא ניתן כל הסבר מניח את הדעת מדוע הנתבע היה צריך להעביר את הכספים לחשבון בנק אחר וכן לא ניתן כל הסבר מניח את הדעת מדוע הועברו הכספים לחשבון המשותף של בני הזוג. </w:t>
      </w:r>
    </w:p>
    <w:p w:rsidR="0071081D" w:rsidRDefault="0071081D" w:rsidP="0071081D">
      <w:pPr>
        <w:pStyle w:val="af"/>
        <w:rPr>
          <w:sz w:val="12"/>
          <w:szCs w:val="12"/>
        </w:rPr>
      </w:pPr>
    </w:p>
    <w:p w:rsidR="0071081D" w:rsidRDefault="0071081D" w:rsidP="00D42F16">
      <w:pPr>
        <w:numPr>
          <w:ilvl w:val="0"/>
          <w:numId w:val="1"/>
        </w:numPr>
        <w:spacing w:after="120" w:line="360" w:lineRule="auto"/>
        <w:ind w:hanging="720"/>
        <w:contextualSpacing/>
        <w:jc w:val="both"/>
        <w:rPr>
          <w:rtl/>
        </w:rPr>
      </w:pPr>
      <w:r>
        <w:rPr>
          <w:u w:val="single"/>
          <w:rtl/>
        </w:rPr>
        <w:t>שלישית</w:t>
      </w:r>
      <w:r>
        <w:rPr>
          <w:rtl/>
        </w:rPr>
        <w:t xml:space="preserve">, גם </w:t>
      </w:r>
      <w:r w:rsidR="00D454CD">
        <w:rPr>
          <w:rFonts w:hint="cs"/>
          <w:rtl/>
        </w:rPr>
        <w:t>דרך</w:t>
      </w:r>
      <w:r>
        <w:rPr>
          <w:rtl/>
        </w:rPr>
        <w:t xml:space="preserve"> העברת הכספים מבנק לאומי לבנק דיקונט הינה תמוהה. הכספים הועברו בארבע פעימות במזומן. לתובע לא היה הסבר לכך, אולם הנתבע נחקר על כך והשיב כי לא יודע מדוע נעשה כן ולדבריו: "</w:t>
      </w:r>
      <w:r>
        <w:rPr>
          <w:b/>
          <w:bCs/>
          <w:rtl/>
        </w:rPr>
        <w:t>וואלה, אין לי, אין לי, אין לי הסבר מסוים לזה, אני פשוט החלטתי להעביר את זה בארבע פעמים זה, אין, אין פה שום הסבר אחר</w:t>
      </w:r>
      <w:r>
        <w:rPr>
          <w:rtl/>
        </w:rPr>
        <w:t xml:space="preserve">" (עמ' 72, ש' </w:t>
      </w:r>
      <w:r w:rsidR="00D42F16">
        <w:rPr>
          <w:rFonts w:hint="cs"/>
          <w:rtl/>
        </w:rPr>
        <w:t>28-29</w:t>
      </w:r>
      <w:r>
        <w:rPr>
          <w:rtl/>
        </w:rPr>
        <w:t xml:space="preserve">). כן לא ניתן הסבר מדוע בעת העברת הכספים במזומן בכל אחת מהפעמים, הוחסר חלק מכל סכום, ורב הנסתר על הגלוי. </w:t>
      </w:r>
    </w:p>
    <w:p w:rsidR="0071081D" w:rsidRDefault="0071081D" w:rsidP="0071081D">
      <w:pPr>
        <w:pStyle w:val="af"/>
        <w:rPr>
          <w:sz w:val="12"/>
          <w:szCs w:val="12"/>
        </w:rPr>
      </w:pPr>
    </w:p>
    <w:p w:rsidR="0071081D" w:rsidRDefault="0071081D" w:rsidP="0071081D">
      <w:pPr>
        <w:numPr>
          <w:ilvl w:val="0"/>
          <w:numId w:val="1"/>
        </w:numPr>
        <w:spacing w:after="120" w:line="360" w:lineRule="auto"/>
        <w:ind w:hanging="720"/>
        <w:contextualSpacing/>
        <w:jc w:val="both"/>
        <w:rPr>
          <w:rtl/>
        </w:rPr>
      </w:pPr>
      <w:r>
        <w:rPr>
          <w:u w:val="single"/>
          <w:rtl/>
        </w:rPr>
        <w:t>רביעית</w:t>
      </w:r>
      <w:r>
        <w:rPr>
          <w:rtl/>
        </w:rPr>
        <w:t>, התובע הסתיר כי ניהל במקביל חשבון בנק בבנק הדואר (עמ' 40, ש' 31, עמ' 41, ש' 11). מדובר בראיה משמעותית על מנת להבין את ההתנהלות הכספית של התובע במהלך שהותו בכלא.</w:t>
      </w:r>
    </w:p>
    <w:p w:rsidR="0071081D" w:rsidRDefault="0071081D" w:rsidP="0071081D">
      <w:pPr>
        <w:pStyle w:val="af"/>
        <w:rPr>
          <w:sz w:val="12"/>
          <w:szCs w:val="12"/>
        </w:rPr>
      </w:pPr>
    </w:p>
    <w:p w:rsidR="0071081D" w:rsidRDefault="0071081D" w:rsidP="0071081D">
      <w:pPr>
        <w:numPr>
          <w:ilvl w:val="0"/>
          <w:numId w:val="1"/>
        </w:numPr>
        <w:spacing w:after="120" w:line="360" w:lineRule="auto"/>
        <w:ind w:hanging="720"/>
        <w:contextualSpacing/>
        <w:jc w:val="both"/>
        <w:rPr>
          <w:rtl/>
        </w:rPr>
      </w:pPr>
      <w:r>
        <w:rPr>
          <w:u w:val="single"/>
          <w:rtl/>
        </w:rPr>
        <w:lastRenderedPageBreak/>
        <w:t>חמישית</w:t>
      </w:r>
      <w:r>
        <w:rPr>
          <w:rtl/>
        </w:rPr>
        <w:t xml:space="preserve">, התובע והנתבע לא נתנו כל הסבר מניח את הדעת מדוע התובע השתחרר בחודש 08/2018 ולא דרש באופן מיידי את כספיו, במשך חמישה חודשים, ורק לאחר פרוץ הסכסוך בין הצדדים דרש את כספו וכן שלח הודעה לנתבעת. </w:t>
      </w:r>
    </w:p>
    <w:p w:rsidR="0071081D" w:rsidRDefault="0071081D" w:rsidP="0071081D">
      <w:pPr>
        <w:pStyle w:val="af"/>
        <w:rPr>
          <w:sz w:val="12"/>
          <w:szCs w:val="12"/>
        </w:rPr>
      </w:pPr>
    </w:p>
    <w:p w:rsidR="0071081D" w:rsidRDefault="0071081D" w:rsidP="0003773A">
      <w:pPr>
        <w:numPr>
          <w:ilvl w:val="0"/>
          <w:numId w:val="1"/>
        </w:numPr>
        <w:spacing w:after="120" w:line="360" w:lineRule="auto"/>
        <w:ind w:hanging="720"/>
        <w:contextualSpacing/>
        <w:jc w:val="both"/>
        <w:rPr>
          <w:rtl/>
        </w:rPr>
      </w:pPr>
      <w:r>
        <w:rPr>
          <w:u w:val="single"/>
          <w:rtl/>
        </w:rPr>
        <w:t>שישית</w:t>
      </w:r>
      <w:r>
        <w:rPr>
          <w:rtl/>
        </w:rPr>
        <w:t xml:space="preserve">, גם גרסת התובעת היתה בעייתית. בכתב התביעה ובתצהירה טענה התובעת כי הסיבה שהעבירה לידי אחיה הנתבע את הכספים היתה שראתה שהתובע מנהל עבור אחיה התובע את הכספים בצורה הטובה ביותר (סעיפים </w:t>
      </w:r>
      <w:r w:rsidR="0003773A">
        <w:rPr>
          <w:rFonts w:hint="cs"/>
          <w:rtl/>
        </w:rPr>
        <w:t xml:space="preserve">10 </w:t>
      </w:r>
      <w:r>
        <w:rPr>
          <w:rtl/>
        </w:rPr>
        <w:t>לתצהירה). עם זאת, בחקירתה שינתה את גרסתה וטענה כי העבירה את הכספים בגלל שהיתה במצוקה ובסכסוך עם בעלה (עמ' 44, ש' 18-19 לפרוט' 18.5.21). גם לאחר מכן, התובעת הציגה גרסה לא סבירה לפיה ביקשה מחד להעלים את הכספים מבעלה אולם מאידך העידה כי בכל מקרה היתה נותנת לבעלה מחצית מהכספים (עמ' 45, ש' 30-33). בנוסף, התובעת אישרה כי עד היום בעלה לא יודע על הכספים, דבר שמחזק את גרסתה התמוהה (עמ' 46, ש' 25-26 לפרוט' 18.5.21). כן, התובעת לא הציגה כל סיבה שהיא מדוע דרשה את קבלת הכספים למרות שעד היום לטענתה היחסים בינה לבין בעלה לא טובים והתחמקה ממתן תשובה עניינית (עמ' 46,</w:t>
      </w:r>
      <w:r w:rsidR="0003773A">
        <w:rPr>
          <w:rtl/>
        </w:rPr>
        <w:t xml:space="preserve"> ש' 1-20) </w:t>
      </w:r>
      <w:r w:rsidR="0003773A">
        <w:rPr>
          <w:rFonts w:hint="cs"/>
          <w:rtl/>
        </w:rPr>
        <w:t xml:space="preserve">כל זאת </w:t>
      </w:r>
      <w:r>
        <w:rPr>
          <w:rtl/>
        </w:rPr>
        <w:t xml:space="preserve">למרות שכלל לא ידעה כי הנתבע הכניס כספים לחשבון המשותף וסברה כי הכספים הינם בחשבון נפרד של הנתבע (עמ' 48, ש' 3-4), דבר שמחזק את המסקנה כי אין לה עילת תביעה מול הנתבעת אלא לכל היותר עילת תביעה מול אחיה הנתבע. </w:t>
      </w:r>
    </w:p>
    <w:p w:rsidR="0071081D" w:rsidRDefault="0071081D" w:rsidP="0071081D">
      <w:pPr>
        <w:pStyle w:val="af"/>
        <w:rPr>
          <w:sz w:val="12"/>
          <w:szCs w:val="12"/>
        </w:rPr>
      </w:pPr>
    </w:p>
    <w:p w:rsidR="0071081D" w:rsidRDefault="0071081D" w:rsidP="0071081D">
      <w:pPr>
        <w:numPr>
          <w:ilvl w:val="0"/>
          <w:numId w:val="1"/>
        </w:numPr>
        <w:spacing w:after="120" w:line="360" w:lineRule="auto"/>
        <w:ind w:hanging="720"/>
        <w:contextualSpacing/>
        <w:jc w:val="both"/>
        <w:rPr>
          <w:rFonts w:ascii="Calibri" w:hAnsi="Calibri"/>
          <w:noProof w:val="0"/>
          <w:rtl/>
        </w:rPr>
      </w:pPr>
      <w:r>
        <w:rPr>
          <w:rFonts w:ascii="Calibri" w:hAnsi="Calibri"/>
          <w:noProof w:val="0"/>
          <w:rtl/>
        </w:rPr>
        <w:t xml:space="preserve">מנגד, בניגוד לטענת התובעים לא מצאתי בעובדה שהנתבעת לא היתה בקיאה בנתונים הכספיים שפורטו בכתב ההגנה ו/או תדפיסי חשבונות הבנק שצורפו, כדי להעיד על חוסר מהימנותה. הנתבעת העידה כי היתה ממודרת מכל העניינים הכספיים ואף לא ידעה אודות העברת הכספים לחשבון המשותף. כידוע, הנטל מוטל מתחילתו עד סופו על התובעים ועל כן אין בעובדה כי הנתבעת לא ידעה פרטים ו/או נתונים כספיים כדי לסייע לתובעים בהוכחת נטל הראיה. </w:t>
      </w:r>
    </w:p>
    <w:p w:rsidR="0071081D" w:rsidRDefault="0071081D" w:rsidP="0071081D">
      <w:pPr>
        <w:spacing w:after="120" w:line="360" w:lineRule="auto"/>
        <w:ind w:left="720"/>
        <w:contextualSpacing/>
        <w:jc w:val="both"/>
        <w:rPr>
          <w:sz w:val="12"/>
          <w:szCs w:val="12"/>
        </w:rPr>
      </w:pPr>
    </w:p>
    <w:p w:rsidR="0071081D" w:rsidRDefault="0071081D" w:rsidP="0071081D">
      <w:pPr>
        <w:numPr>
          <w:ilvl w:val="0"/>
          <w:numId w:val="1"/>
        </w:numPr>
        <w:spacing w:after="120" w:line="360" w:lineRule="auto"/>
        <w:ind w:hanging="720"/>
        <w:contextualSpacing/>
        <w:jc w:val="both"/>
        <w:rPr>
          <w:rFonts w:ascii="Calibri" w:hAnsi="Calibri"/>
          <w:b/>
          <w:bCs/>
          <w:noProof w:val="0"/>
        </w:rPr>
      </w:pPr>
      <w:r>
        <w:rPr>
          <w:rFonts w:ascii="Calibri" w:hAnsi="Calibri"/>
          <w:b/>
          <w:bCs/>
          <w:noProof w:val="0"/>
          <w:rtl/>
        </w:rPr>
        <w:t xml:space="preserve">אשר על כן, לאור כל האמור לעיל – מצאתי כי התובעים לא הצליחו להרים את הנטל כי מדובר בכספיהם שלהם, אלא להיפך התנהלות הנתבע לאורך השנים סותרת את הטענה לפיה מדובר בכספים נפרדים של התובעים אשר נשמרו בנאמנות עבורם; ועל כן, דין התביעה להידחות. </w:t>
      </w:r>
    </w:p>
    <w:p w:rsidR="0071081D" w:rsidRDefault="0071081D" w:rsidP="0071081D">
      <w:pPr>
        <w:spacing w:after="120" w:line="360" w:lineRule="auto"/>
        <w:ind w:left="720"/>
        <w:contextualSpacing/>
        <w:jc w:val="both"/>
        <w:rPr>
          <w:rFonts w:ascii="Calibri" w:hAnsi="Calibri"/>
          <w:noProof w:val="0"/>
          <w:sz w:val="12"/>
          <w:szCs w:val="12"/>
        </w:rPr>
      </w:pPr>
    </w:p>
    <w:p w:rsidR="0071081D" w:rsidRDefault="0071081D" w:rsidP="0071081D">
      <w:pPr>
        <w:spacing w:after="120" w:line="360" w:lineRule="auto"/>
        <w:contextualSpacing/>
        <w:jc w:val="both"/>
        <w:rPr>
          <w:rFonts w:ascii="Calibri" w:hAnsi="Calibri"/>
          <w:noProof w:val="0"/>
        </w:rPr>
      </w:pPr>
      <w:r>
        <w:rPr>
          <w:rFonts w:ascii="Calibri" w:hAnsi="Calibri"/>
          <w:b/>
          <w:bCs/>
          <w:noProof w:val="0"/>
          <w:u w:val="single"/>
          <w:rtl/>
        </w:rPr>
        <w:t>סוף דבר</w:t>
      </w:r>
      <w:r>
        <w:rPr>
          <w:rFonts w:ascii="Calibri" w:hAnsi="Calibri"/>
          <w:noProof w:val="0"/>
          <w:rtl/>
        </w:rPr>
        <w:t>:</w:t>
      </w:r>
    </w:p>
    <w:p w:rsidR="0071081D" w:rsidRDefault="0071081D" w:rsidP="0071081D">
      <w:pPr>
        <w:spacing w:after="120" w:line="360" w:lineRule="auto"/>
        <w:contextualSpacing/>
        <w:jc w:val="both"/>
        <w:rPr>
          <w:rFonts w:ascii="Calibri" w:hAnsi="Calibri"/>
          <w:b/>
          <w:bCs/>
          <w:noProof w:val="0"/>
          <w:sz w:val="12"/>
          <w:szCs w:val="12"/>
          <w:u w:val="single"/>
          <w:rtl/>
        </w:rPr>
      </w:pPr>
    </w:p>
    <w:p w:rsidR="0071081D" w:rsidRDefault="0071081D" w:rsidP="0071081D">
      <w:pPr>
        <w:numPr>
          <w:ilvl w:val="0"/>
          <w:numId w:val="1"/>
        </w:numPr>
        <w:spacing w:after="120" w:line="360" w:lineRule="auto"/>
        <w:ind w:hanging="720"/>
        <w:contextualSpacing/>
        <w:jc w:val="both"/>
        <w:rPr>
          <w:rFonts w:ascii="Calibri" w:hAnsi="Calibri"/>
          <w:noProof w:val="0"/>
        </w:rPr>
      </w:pPr>
      <w:r>
        <w:rPr>
          <w:rFonts w:ascii="Calibri" w:hAnsi="Calibri"/>
          <w:noProof w:val="0"/>
          <w:rtl/>
        </w:rPr>
        <w:t xml:space="preserve">אשר על כן, לאור האמור לעיל, אני מורה כדלקמן: </w:t>
      </w:r>
    </w:p>
    <w:p w:rsidR="0071081D" w:rsidRDefault="0071081D" w:rsidP="0071081D">
      <w:pPr>
        <w:pStyle w:val="1"/>
        <w:numPr>
          <w:ilvl w:val="0"/>
          <w:numId w:val="5"/>
        </w:numPr>
        <w:spacing w:after="120" w:line="360" w:lineRule="auto"/>
        <w:jc w:val="both"/>
      </w:pPr>
      <w:r>
        <w:rPr>
          <w:rFonts w:cs="David"/>
          <w:sz w:val="24"/>
          <w:szCs w:val="24"/>
          <w:rtl/>
        </w:rPr>
        <w:t xml:space="preserve">התביעה נדחית. </w:t>
      </w:r>
    </w:p>
    <w:p w:rsidR="0071081D" w:rsidRDefault="0071081D" w:rsidP="0071081D">
      <w:pPr>
        <w:pStyle w:val="1"/>
        <w:spacing w:after="120" w:line="360" w:lineRule="auto"/>
        <w:ind w:left="1440"/>
        <w:jc w:val="both"/>
        <w:rPr>
          <w:rFonts w:ascii="David" w:hAnsi="David" w:cs="David"/>
          <w:sz w:val="12"/>
          <w:szCs w:val="12"/>
        </w:rPr>
      </w:pPr>
    </w:p>
    <w:p w:rsidR="0071081D" w:rsidRDefault="0071081D" w:rsidP="0071081D">
      <w:pPr>
        <w:pStyle w:val="1"/>
        <w:numPr>
          <w:ilvl w:val="0"/>
          <w:numId w:val="5"/>
        </w:numPr>
        <w:spacing w:after="120" w:line="360" w:lineRule="auto"/>
        <w:jc w:val="both"/>
      </w:pPr>
      <w:r>
        <w:rPr>
          <w:rFonts w:cs="David"/>
          <w:sz w:val="24"/>
          <w:szCs w:val="24"/>
          <w:rtl/>
        </w:rPr>
        <w:t xml:space="preserve">התובעים יישאו בהוצאות הנתבעת בסך 20,000 ₪ אשר ישולמו בתוך 30 ימים שאם לא כן יישא התשלום הפרשי הצמדה וריבית כדין ממועד החיוב ועד התשלום בפועל. </w:t>
      </w:r>
    </w:p>
    <w:p w:rsidR="0071081D" w:rsidRDefault="0071081D" w:rsidP="0071081D">
      <w:pPr>
        <w:pStyle w:val="1"/>
        <w:spacing w:after="120" w:line="360" w:lineRule="auto"/>
        <w:ind w:left="1440"/>
        <w:jc w:val="both"/>
        <w:rPr>
          <w:rFonts w:ascii="David" w:hAnsi="David" w:cs="David"/>
          <w:sz w:val="12"/>
          <w:szCs w:val="12"/>
        </w:rPr>
      </w:pPr>
    </w:p>
    <w:p w:rsidR="0071081D" w:rsidRDefault="0071081D" w:rsidP="0071081D">
      <w:pPr>
        <w:numPr>
          <w:ilvl w:val="0"/>
          <w:numId w:val="1"/>
        </w:numPr>
        <w:spacing w:after="120" w:line="360" w:lineRule="auto"/>
        <w:ind w:hanging="720"/>
        <w:contextualSpacing/>
        <w:jc w:val="both"/>
        <w:rPr>
          <w:rFonts w:ascii="Calibri" w:hAnsi="Calibri"/>
          <w:noProof w:val="0"/>
        </w:rPr>
      </w:pPr>
      <w:r>
        <w:rPr>
          <w:noProof w:val="0"/>
          <w:rtl/>
        </w:rPr>
        <w:t xml:space="preserve">המזכירות תמציא פסק הדין לב"כ הצדדים ותסגור את התיק. </w:t>
      </w:r>
    </w:p>
    <w:p w:rsidR="002914D6" w:rsidRDefault="002914D6">
      <w:pPr>
        <w:spacing w:line="360" w:lineRule="auto"/>
        <w:jc w:val="both"/>
        <w:rPr>
          <w:rFonts w:ascii="Arial" w:hAnsi="Arial"/>
          <w:noProof w:val="0"/>
          <w:rtl/>
        </w:rPr>
      </w:pPr>
    </w:p>
    <w:p w:rsidR="002914D6" w:rsidRDefault="00011212">
      <w:pPr>
        <w:spacing w:line="360" w:lineRule="auto"/>
        <w:jc w:val="both"/>
        <w:rPr>
          <w:rFonts w:ascii="Arial" w:hAnsi="Arial"/>
          <w:noProof w:val="0"/>
          <w:rtl/>
        </w:rPr>
      </w:pPr>
      <w:r>
        <w:rPr>
          <w:rFonts w:ascii="Arial" w:hAnsi="Arial"/>
          <w:noProof w:val="0"/>
          <w:rtl/>
        </w:rPr>
        <w:lastRenderedPageBreak/>
        <w:t xml:space="preserve">ניתן היום,  </w:t>
      </w:r>
      <w:sdt>
        <w:sdtPr>
          <w:rPr>
            <w:rtl/>
          </w:rPr>
          <w:alias w:val="1455"/>
          <w:tag w:val="1455"/>
          <w:id w:val="-1784405537"/>
          <w:text w:multiLine="1"/>
        </w:sdtPr>
        <w:sdtEndPr/>
        <w:sdtContent>
          <w:r>
            <w:rPr>
              <w:rFonts w:ascii="Arial" w:hAnsi="Arial"/>
              <w:noProof w:val="0"/>
              <w:rtl/>
            </w:rPr>
            <w:t>כ"ג אלול תשפ"ב</w:t>
          </w:r>
        </w:sdtContent>
      </w:sdt>
      <w:r>
        <w:rPr>
          <w:rFonts w:ascii="Arial" w:hAnsi="Arial"/>
          <w:noProof w:val="0"/>
          <w:rtl/>
        </w:rPr>
        <w:t xml:space="preserve">, </w:t>
      </w:r>
      <w:sdt>
        <w:sdtPr>
          <w:rPr>
            <w:rtl/>
          </w:rPr>
          <w:alias w:val="1456"/>
          <w:tag w:val="1456"/>
          <w:id w:val="-1133865600"/>
          <w:text w:multiLine="1"/>
        </w:sdtPr>
        <w:sdtEndPr/>
        <w:sdtContent>
          <w:r>
            <w:rPr>
              <w:rFonts w:ascii="Arial" w:hAnsi="Arial"/>
              <w:noProof w:val="0"/>
              <w:rtl/>
            </w:rPr>
            <w:t>19 ספטמבר 2022</w:t>
          </w:r>
        </w:sdtContent>
      </w:sdt>
      <w:r>
        <w:rPr>
          <w:rFonts w:ascii="Arial" w:hAnsi="Arial"/>
          <w:noProof w:val="0"/>
          <w:rtl/>
        </w:rPr>
        <w:t>, בהעדר הצדדים.</w:t>
      </w:r>
    </w:p>
    <w:p w:rsidR="002914D6" w:rsidRDefault="002914D6">
      <w:pPr>
        <w:spacing w:line="360" w:lineRule="auto"/>
        <w:jc w:val="both"/>
        <w:rPr>
          <w:rFonts w:ascii="Arial" w:hAnsi="Arial"/>
          <w:noProof w:val="0"/>
          <w:rtl/>
        </w:rPr>
      </w:pPr>
    </w:p>
    <w:p w:rsidR="002914D6" w:rsidRDefault="009E198B">
      <w:pPr>
        <w:spacing w:line="360" w:lineRule="auto"/>
        <w:ind w:left="3600" w:firstLine="720"/>
        <w:jc w:val="both"/>
      </w:pPr>
      <w:sdt>
        <w:sdtPr>
          <w:rPr>
            <w:rtl/>
          </w:rPr>
          <w:alias w:val="MergeField"/>
          <w:tag w:val="1237"/>
          <w:id w:val="-1933971250"/>
        </w:sdtPr>
        <w:sdtEndPr/>
        <w:sdtContent>
          <w:r w:rsidR="00224FDF">
            <w:drawing>
              <wp:inline distT="0" distB="0" distL="0" distR="0" wp14:editId="50D07946">
                <wp:extent cx="1752600" cy="8191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1237.jpg"/>
                        <pic:cNvPicPr/>
                      </pic:nvPicPr>
                      <pic:blipFill>
                        <a:blip r:embed="rId10" cstate="print">
                          <a:extLst/>
                        </a:blip>
                        <a:stretch>
                          <a:fillRect/>
                        </a:stretch>
                      </pic:blipFill>
                      <pic:spPr>
                        <a:xfrm>
                          <a:off x="0" y="0"/>
                          <a:ext cx="1752600" cy="819150"/>
                        </a:xfrm>
                        <a:prstGeom prst="rect">
                          <a:avLst/>
                        </a:prstGeom>
                      </pic:spPr>
                    </pic:pic>
                  </a:graphicData>
                </a:graphic>
              </wp:inline>
            </w:drawing>
          </w:r>
        </w:sdtContent>
      </w:sdt>
    </w:p>
    <w:p w:rsidR="002914D6" w:rsidRDefault="002914D6">
      <w:pPr>
        <w:spacing w:line="360" w:lineRule="auto"/>
        <w:ind w:left="3600" w:firstLine="720"/>
        <w:jc w:val="both"/>
        <w:rPr>
          <w:rFonts w:ascii="Arial" w:hAnsi="Arial"/>
          <w:noProof w:val="0"/>
          <w:rtl/>
        </w:rPr>
      </w:pPr>
    </w:p>
    <w:p w:rsidR="002914D6" w:rsidRDefault="002914D6">
      <w:pPr>
        <w:spacing w:line="360" w:lineRule="auto"/>
        <w:jc w:val="both"/>
        <w:rPr>
          <w:rFonts w:ascii="Arial" w:hAnsi="Arial"/>
          <w:noProof w:val="0"/>
          <w:rtl/>
        </w:rPr>
      </w:pPr>
    </w:p>
    <w:sectPr w:rsidR="002914D6" w:rsidSect="0071081D">
      <w:headerReference w:type="default" r:id="rId11"/>
      <w:footerReference w:type="default" r:id="rId12"/>
      <w:pgSz w:w="11907" w:h="16840" w:code="9"/>
      <w:pgMar w:top="720" w:right="1418" w:bottom="431" w:left="1418" w:header="720" w:footer="1055"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E198B" w:rsidRDefault="009E198B">
      <w:r>
        <w:separator/>
      </w:r>
    </w:p>
  </w:endnote>
  <w:endnote w:type="continuationSeparator" w:id="0">
    <w:p w:rsidR="009E198B" w:rsidRDefault="009E19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Miriam">
    <w:panose1 w:val="020B0502050101010101"/>
    <w:charset w:val="00"/>
    <w:family w:val="swiss"/>
    <w:pitch w:val="variable"/>
    <w:sig w:usb0="00000803" w:usb1="00000000" w:usb2="00000000" w:usb3="00000000" w:csb0="0000002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C931BD">
    <w:pPr>
      <w:pStyle w:val="a4"/>
      <w:jc w:val="center"/>
      <w:rPr>
        <w:rStyle w:val="ab"/>
      </w:rPr>
    </w:pPr>
    <w:r>
      <w:rPr>
        <w:rStyle w:val="ab"/>
      </w:rPr>
      <w:fldChar w:fldCharType="begin"/>
    </w:r>
    <w:r w:rsidR="00011212">
      <w:rPr>
        <w:rStyle w:val="ab"/>
      </w:rPr>
      <w:instrText xml:space="preserve"> PAGE </w:instrText>
    </w:r>
    <w:r>
      <w:rPr>
        <w:rStyle w:val="ab"/>
      </w:rPr>
      <w:fldChar w:fldCharType="separate"/>
    </w:r>
    <w:r w:rsidR="00203826">
      <w:rPr>
        <w:rStyle w:val="ab"/>
        <w:rtl/>
      </w:rPr>
      <w:t>1</w:t>
    </w:r>
    <w:r>
      <w:rPr>
        <w:rStyle w:val="ab"/>
      </w:rPr>
      <w:fldChar w:fldCharType="end"/>
    </w:r>
    <w:r w:rsidR="00011212">
      <w:rPr>
        <w:rStyle w:val="ab"/>
        <w:rFonts w:hint="cs"/>
        <w:rtl/>
      </w:rPr>
      <w:t xml:space="preserve"> מתוך </w:t>
    </w:r>
    <w:r>
      <w:rPr>
        <w:rStyle w:val="ab"/>
      </w:rPr>
      <w:fldChar w:fldCharType="begin"/>
    </w:r>
    <w:r w:rsidR="00011212">
      <w:rPr>
        <w:rStyle w:val="ab"/>
      </w:rPr>
      <w:instrText xml:space="preserve"> NUMPAGES </w:instrText>
    </w:r>
    <w:r>
      <w:rPr>
        <w:rStyle w:val="ab"/>
      </w:rPr>
      <w:fldChar w:fldCharType="separate"/>
    </w:r>
    <w:r w:rsidR="00203826">
      <w:rPr>
        <w:rStyle w:val="ab"/>
        <w:rtl/>
      </w:rPr>
      <w:t>18</w:t>
    </w:r>
    <w:r>
      <w:rPr>
        <w:rStyle w:val="a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E198B" w:rsidRDefault="009E198B">
      <w:r>
        <w:separator/>
      </w:r>
    </w:p>
  </w:footnote>
  <w:footnote w:type="continuationSeparator" w:id="0">
    <w:p w:rsidR="009E198B" w:rsidRDefault="009E19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914D6" w:rsidRDefault="00FC3D4E">
    <w:pPr>
      <w:pStyle w:val="a3"/>
      <w:jc w:val="center"/>
      <w:rPr>
        <w:rFonts w:cs="FrankRuehl"/>
        <w:noProof w:val="0"/>
        <w:sz w:val="28"/>
        <w:szCs w:val="28"/>
        <w:rtl/>
      </w:rPr>
    </w:pPr>
    <w:r>
      <w:rPr>
        <w:rFonts w:cs="FrankRuehl"/>
        <w:sz w:val="28"/>
        <w:szCs w:val="28"/>
      </w:rPr>
      <w:drawing>
        <wp:inline distT="0" distB="0" distL="0" distR="0">
          <wp:extent cx="374015" cy="469265"/>
          <wp:effectExtent l="0" t="0" r="6985" b="6985"/>
          <wp:docPr id="2"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5047"/>
      <w:gridCol w:w="3674"/>
    </w:tblGrid>
    <w:tr w:rsidR="002914D6">
      <w:trPr>
        <w:trHeight w:hRule="exact" w:val="418"/>
        <w:jc w:val="center"/>
      </w:trPr>
      <w:sdt>
        <w:sdtPr>
          <w:rPr>
            <w:rtl/>
          </w:rPr>
          <w:alias w:val="1174"/>
          <w:tag w:val="1174"/>
          <w:id w:val="222578223"/>
          <w:text/>
        </w:sdtPr>
        <w:sdtEndPr/>
        <w:sdtContent>
          <w:tc>
            <w:tcPr>
              <w:tcW w:w="8721" w:type="dxa"/>
              <w:gridSpan w:val="2"/>
            </w:tcPr>
            <w:p w:rsidR="002914D6" w:rsidRDefault="00011212">
              <w:pPr>
                <w:pStyle w:val="a3"/>
                <w:jc w:val="center"/>
                <w:rPr>
                  <w:rFonts w:ascii="Tahoma" w:hAnsi="Tahoma" w:cs="Tahoma"/>
                  <w:noProof w:val="0"/>
                  <w:color w:val="000080"/>
                  <w:rtl/>
                </w:rPr>
              </w:pPr>
              <w:r>
                <w:rPr>
                  <w:rFonts w:ascii="Tahoma" w:hAnsi="Tahoma" w:cs="Tahoma"/>
                  <w:b/>
                  <w:bCs/>
                  <w:noProof w:val="0"/>
                  <w:color w:val="000080"/>
                  <w:rtl/>
                </w:rPr>
                <w:t>בית משפט לענייני משפחה בתל אביב - יפו</w:t>
              </w:r>
            </w:p>
          </w:tc>
        </w:sdtContent>
      </w:sdt>
    </w:tr>
    <w:tr w:rsidR="002914D6">
      <w:trPr>
        <w:trHeight w:val="337"/>
        <w:jc w:val="center"/>
      </w:trPr>
      <w:tc>
        <w:tcPr>
          <w:tcW w:w="5047" w:type="dxa"/>
        </w:tcPr>
        <w:p w:rsidR="002914D6" w:rsidRDefault="002914D6">
          <w:pPr>
            <w:rPr>
              <w:b/>
              <w:bCs/>
              <w:noProof w:val="0"/>
              <w:sz w:val="26"/>
              <w:szCs w:val="26"/>
              <w:rtl/>
            </w:rPr>
          </w:pPr>
        </w:p>
      </w:tc>
      <w:tc>
        <w:tcPr>
          <w:tcW w:w="3674" w:type="dxa"/>
        </w:tcPr>
        <w:p w:rsidR="002914D6" w:rsidRDefault="002914D6">
          <w:pPr>
            <w:pStyle w:val="a3"/>
            <w:jc w:val="right"/>
            <w:rPr>
              <w:b/>
              <w:bCs/>
              <w:noProof w:val="0"/>
              <w:sz w:val="26"/>
              <w:szCs w:val="26"/>
              <w:rtl/>
            </w:rPr>
          </w:pPr>
        </w:p>
      </w:tc>
    </w:tr>
    <w:tr w:rsidR="002914D6">
      <w:trPr>
        <w:trHeight w:val="337"/>
        <w:jc w:val="center"/>
      </w:trPr>
      <w:tc>
        <w:tcPr>
          <w:tcW w:w="8721" w:type="dxa"/>
          <w:gridSpan w:val="2"/>
        </w:tcPr>
        <w:p w:rsidR="002914D6" w:rsidRPr="0071081D" w:rsidRDefault="009E198B" w:rsidP="006A26C3">
          <w:pPr>
            <w:rPr>
              <w:b/>
              <w:bCs/>
              <w:noProof w:val="0"/>
              <w:rtl/>
            </w:rPr>
          </w:pPr>
          <w:sdt>
            <w:sdtPr>
              <w:rPr>
                <w:rtl/>
              </w:rPr>
              <w:alias w:val="1170"/>
              <w:tag w:val="1170"/>
              <w:id w:val="-984775694"/>
              <w:text w:multiLine="1"/>
            </w:sdtPr>
            <w:sdtEndPr/>
            <w:sdtContent>
              <w:r w:rsidR="00BD18F5" w:rsidRPr="0071081D">
                <w:rPr>
                  <w:b/>
                  <w:bCs/>
                  <w:noProof w:val="0"/>
                  <w:rtl/>
                </w:rPr>
                <w:t>תמ"ש</w:t>
              </w:r>
            </w:sdtContent>
          </w:sdt>
          <w:r w:rsidR="00011212" w:rsidRPr="0071081D">
            <w:rPr>
              <w:b/>
              <w:bCs/>
              <w:noProof w:val="0"/>
              <w:rtl/>
            </w:rPr>
            <w:t xml:space="preserve"> </w:t>
          </w:r>
          <w:sdt>
            <w:sdtPr>
              <w:rPr>
                <w:rtl/>
              </w:rPr>
              <w:alias w:val="1171"/>
              <w:tag w:val="1171"/>
              <w:id w:val="1025217868"/>
              <w:text w:multiLine="1"/>
            </w:sdtPr>
            <w:sdtEndPr/>
            <w:sdtContent>
              <w:r w:rsidR="00BD18F5" w:rsidRPr="0071081D">
                <w:rPr>
                  <w:b/>
                  <w:bCs/>
                  <w:noProof w:val="0"/>
                  <w:rtl/>
                </w:rPr>
                <w:t>8219-04-19</w:t>
              </w:r>
            </w:sdtContent>
          </w:sdt>
          <w:r w:rsidR="00011212" w:rsidRPr="0071081D">
            <w:rPr>
              <w:b/>
              <w:bCs/>
              <w:noProof w:val="0"/>
              <w:rtl/>
            </w:rPr>
            <w:t xml:space="preserve"> </w:t>
          </w:r>
          <w:sdt>
            <w:sdtPr>
              <w:rPr>
                <w:rtl/>
              </w:rPr>
              <w:alias w:val="1172"/>
              <w:tag w:val="1172"/>
              <w:id w:val="-673653942"/>
              <w:showingPlcHdr/>
              <w:text w:multiLine="1"/>
            </w:sdtPr>
            <w:sdtEndPr/>
            <w:sdtContent>
              <w:r w:rsidR="006A26C3">
                <w:rPr>
                  <w:rtl/>
                </w:rPr>
                <w:t xml:space="preserve">     </w:t>
              </w:r>
            </w:sdtContent>
          </w:sdt>
        </w:p>
        <w:p w:rsidR="002914D6" w:rsidRPr="006A26C3" w:rsidRDefault="006A26C3">
          <w:pPr>
            <w:rPr>
              <w:b/>
              <w:bCs/>
              <w:u w:val="single"/>
              <w:rtl/>
            </w:rPr>
          </w:pPr>
          <w:r>
            <w:rPr>
              <w:rFonts w:hint="cs"/>
              <w:rtl/>
            </w:rPr>
            <w:t xml:space="preserve">                                                                                                                               </w:t>
          </w:r>
          <w:r w:rsidRPr="006A26C3">
            <w:rPr>
              <w:rFonts w:hint="cs"/>
              <w:b/>
              <w:bCs/>
              <w:u w:val="single"/>
              <w:rtl/>
            </w:rPr>
            <w:t>עותק לפרסום</w:t>
          </w:r>
        </w:p>
      </w:tc>
    </w:tr>
  </w:tbl>
  <w:p w:rsidR="002914D6" w:rsidRDefault="00011212">
    <w:pPr>
      <w:pStyle w:val="a3"/>
      <w:rPr>
        <w:noProof w:val="0"/>
        <w:rtl/>
      </w:rPr>
    </w:pPr>
    <w:r>
      <w:rPr>
        <w:noProof w:val="0"/>
        <w:rt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1C30DB0"/>
    <w:multiLevelType w:val="hybridMultilevel"/>
    <w:tmpl w:val="F2A09B5A"/>
    <w:lvl w:ilvl="0" w:tplc="7E447C24">
      <w:start w:val="1"/>
      <w:numFmt w:val="hebrew1"/>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1" w15:restartNumberingAfterBreak="0">
    <w:nsid w:val="42FF61EB"/>
    <w:multiLevelType w:val="hybridMultilevel"/>
    <w:tmpl w:val="468E05C0"/>
    <w:lvl w:ilvl="0" w:tplc="F2460EBC">
      <w:start w:val="1"/>
      <w:numFmt w:val="hebrew1"/>
      <w:lvlText w:val="%1."/>
      <w:lvlJc w:val="center"/>
      <w:pPr>
        <w:ind w:left="1440" w:hanging="360"/>
      </w:pPr>
      <w:rPr>
        <w:rFonts w:cs="David"/>
        <w:sz w:val="24"/>
        <w:szCs w:val="24"/>
      </w:rPr>
    </w:lvl>
    <w:lvl w:ilvl="1" w:tplc="04090019">
      <w:start w:val="1"/>
      <w:numFmt w:val="lowerLetter"/>
      <w:lvlText w:val="%2."/>
      <w:lvlJc w:val="left"/>
      <w:pPr>
        <w:ind w:left="2160" w:hanging="360"/>
      </w:pPr>
      <w:rPr>
        <w:rFonts w:cs="Times New Roman"/>
      </w:rPr>
    </w:lvl>
    <w:lvl w:ilvl="2" w:tplc="0409001B">
      <w:start w:val="1"/>
      <w:numFmt w:val="lowerRoman"/>
      <w:lvlText w:val="%3."/>
      <w:lvlJc w:val="right"/>
      <w:pPr>
        <w:ind w:left="2880" w:hanging="180"/>
      </w:pPr>
      <w:rPr>
        <w:rFonts w:cs="Times New Roman"/>
      </w:rPr>
    </w:lvl>
    <w:lvl w:ilvl="3" w:tplc="0409000F">
      <w:start w:val="1"/>
      <w:numFmt w:val="decimal"/>
      <w:lvlText w:val="%4."/>
      <w:lvlJc w:val="left"/>
      <w:pPr>
        <w:ind w:left="3600" w:hanging="360"/>
      </w:pPr>
      <w:rPr>
        <w:rFonts w:cs="Times New Roman"/>
      </w:rPr>
    </w:lvl>
    <w:lvl w:ilvl="4" w:tplc="04090019">
      <w:start w:val="1"/>
      <w:numFmt w:val="lowerLetter"/>
      <w:lvlText w:val="%5."/>
      <w:lvlJc w:val="left"/>
      <w:pPr>
        <w:ind w:left="4320" w:hanging="360"/>
      </w:pPr>
      <w:rPr>
        <w:rFonts w:cs="Times New Roman"/>
      </w:rPr>
    </w:lvl>
    <w:lvl w:ilvl="5" w:tplc="0409001B">
      <w:start w:val="1"/>
      <w:numFmt w:val="lowerRoman"/>
      <w:lvlText w:val="%6."/>
      <w:lvlJc w:val="right"/>
      <w:pPr>
        <w:ind w:left="5040" w:hanging="180"/>
      </w:pPr>
      <w:rPr>
        <w:rFonts w:cs="Times New Roman"/>
      </w:rPr>
    </w:lvl>
    <w:lvl w:ilvl="6" w:tplc="0409000F">
      <w:start w:val="1"/>
      <w:numFmt w:val="decimal"/>
      <w:lvlText w:val="%7."/>
      <w:lvlJc w:val="left"/>
      <w:pPr>
        <w:ind w:left="5760" w:hanging="360"/>
      </w:pPr>
      <w:rPr>
        <w:rFonts w:cs="Times New Roman"/>
      </w:rPr>
    </w:lvl>
    <w:lvl w:ilvl="7" w:tplc="04090019">
      <w:start w:val="1"/>
      <w:numFmt w:val="lowerLetter"/>
      <w:lvlText w:val="%8."/>
      <w:lvlJc w:val="left"/>
      <w:pPr>
        <w:ind w:left="6480" w:hanging="360"/>
      </w:pPr>
      <w:rPr>
        <w:rFonts w:cs="Times New Roman"/>
      </w:rPr>
    </w:lvl>
    <w:lvl w:ilvl="8" w:tplc="0409001B">
      <w:start w:val="1"/>
      <w:numFmt w:val="lowerRoman"/>
      <w:lvlText w:val="%9."/>
      <w:lvlJc w:val="right"/>
      <w:pPr>
        <w:ind w:left="7200" w:hanging="180"/>
      </w:pPr>
      <w:rPr>
        <w:rFonts w:cs="Times New Roman"/>
      </w:rPr>
    </w:lvl>
  </w:abstractNum>
  <w:abstractNum w:abstractNumId="2" w15:restartNumberingAfterBreak="0">
    <w:nsid w:val="47C10963"/>
    <w:multiLevelType w:val="hybridMultilevel"/>
    <w:tmpl w:val="99C213FA"/>
    <w:lvl w:ilvl="0" w:tplc="D79620C4">
      <w:start w:val="1"/>
      <w:numFmt w:val="decimal"/>
      <w:lvlText w:val="%1."/>
      <w:lvlJc w:val="left"/>
      <w:pPr>
        <w:ind w:left="720" w:hanging="360"/>
      </w:pPr>
      <w:rPr>
        <w:rFonts w:ascii="David" w:hAnsi="David" w:cs="David" w:hint="default"/>
        <w:b w:val="0"/>
        <w:bCs w:val="0"/>
        <w:sz w:val="24"/>
        <w:szCs w:val="24"/>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3" w15:restartNumberingAfterBreak="0">
    <w:nsid w:val="4EF2572B"/>
    <w:multiLevelType w:val="hybridMultilevel"/>
    <w:tmpl w:val="725A5F92"/>
    <w:lvl w:ilvl="0" w:tplc="D5CA4D36">
      <w:start w:val="1"/>
      <w:numFmt w:val="hebrew1"/>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4" w15:restartNumberingAfterBreak="0">
    <w:nsid w:val="6A13338A"/>
    <w:multiLevelType w:val="hybridMultilevel"/>
    <w:tmpl w:val="83BE9494"/>
    <w:lvl w:ilvl="0" w:tplc="A70AD622">
      <w:start w:val="1"/>
      <w:numFmt w:val="hebrew1"/>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914D6"/>
    <w:rsid w:val="00011212"/>
    <w:rsid w:val="0003773A"/>
    <w:rsid w:val="000416E8"/>
    <w:rsid w:val="00076451"/>
    <w:rsid w:val="000E2570"/>
    <w:rsid w:val="001118AA"/>
    <w:rsid w:val="00203826"/>
    <w:rsid w:val="00224FDF"/>
    <w:rsid w:val="00265648"/>
    <w:rsid w:val="002914D6"/>
    <w:rsid w:val="002B2F70"/>
    <w:rsid w:val="002F5307"/>
    <w:rsid w:val="00666802"/>
    <w:rsid w:val="006A26C3"/>
    <w:rsid w:val="006C4051"/>
    <w:rsid w:val="0071081D"/>
    <w:rsid w:val="00723461"/>
    <w:rsid w:val="007C1077"/>
    <w:rsid w:val="007C6BD7"/>
    <w:rsid w:val="00822AA5"/>
    <w:rsid w:val="0091072C"/>
    <w:rsid w:val="009108D7"/>
    <w:rsid w:val="00922A1F"/>
    <w:rsid w:val="009C0CFE"/>
    <w:rsid w:val="009E198B"/>
    <w:rsid w:val="009F44F9"/>
    <w:rsid w:val="00BD18F5"/>
    <w:rsid w:val="00BD5B6B"/>
    <w:rsid w:val="00C40239"/>
    <w:rsid w:val="00C72BEE"/>
    <w:rsid w:val="00C7482E"/>
    <w:rsid w:val="00C931BD"/>
    <w:rsid w:val="00D358FE"/>
    <w:rsid w:val="00D42F16"/>
    <w:rsid w:val="00D454CD"/>
    <w:rsid w:val="00D53692"/>
    <w:rsid w:val="00D54B3A"/>
    <w:rsid w:val="00E9298F"/>
    <w:rsid w:val="00F50E07"/>
    <w:rsid w:val="00F706EB"/>
    <w:rsid w:val="00FC3D4E"/>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30B4F2DB-14A2-4DFB-9B03-E17FEB44F0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character" w:styleId="ac">
    <w:name w:val="Placeholder Text"/>
    <w:basedOn w:val="a0"/>
    <w:uiPriority w:val="99"/>
    <w:semiHidden/>
    <w:rsid w:val="00BD5B6B"/>
    <w:rPr>
      <w:color w:val="808080"/>
    </w:rPr>
  </w:style>
  <w:style w:type="character" w:styleId="Hyperlink">
    <w:name w:val="Hyperlink"/>
    <w:uiPriority w:val="99"/>
    <w:semiHidden/>
    <w:unhideWhenUsed/>
    <w:rsid w:val="0071081D"/>
    <w:rPr>
      <w:color w:val="0000FF"/>
      <w:u w:val="single"/>
    </w:rPr>
  </w:style>
  <w:style w:type="paragraph" w:styleId="ad">
    <w:name w:val="Title"/>
    <w:basedOn w:val="a"/>
    <w:link w:val="ae"/>
    <w:qFormat/>
    <w:rsid w:val="0071081D"/>
    <w:pPr>
      <w:shd w:val="pct20" w:color="auto" w:fill="FFFFFF"/>
      <w:spacing w:line="480" w:lineRule="auto"/>
      <w:ind w:left="1701" w:hanging="1701"/>
      <w:jc w:val="center"/>
    </w:pPr>
    <w:rPr>
      <w:rFonts w:cs="Times New Roman"/>
      <w:b/>
      <w:bCs/>
      <w:noProof w:val="0"/>
      <w:sz w:val="20"/>
      <w:szCs w:val="28"/>
      <w:u w:val="single"/>
      <w:lang w:eastAsia="he-IL"/>
    </w:rPr>
  </w:style>
  <w:style w:type="character" w:customStyle="1" w:styleId="ae">
    <w:name w:val="כותרת טקסט תו"/>
    <w:basedOn w:val="a0"/>
    <w:link w:val="ad"/>
    <w:rsid w:val="0071081D"/>
    <w:rPr>
      <w:b/>
      <w:bCs/>
      <w:szCs w:val="28"/>
      <w:u w:val="single"/>
      <w:shd w:val="pct20" w:color="auto" w:fill="FFFFFF"/>
      <w:lang w:eastAsia="he-IL"/>
    </w:rPr>
  </w:style>
  <w:style w:type="paragraph" w:styleId="af">
    <w:name w:val="List Paragraph"/>
    <w:basedOn w:val="a"/>
    <w:uiPriority w:val="99"/>
    <w:qFormat/>
    <w:rsid w:val="0071081D"/>
    <w:pPr>
      <w:ind w:left="720"/>
    </w:pPr>
  </w:style>
  <w:style w:type="paragraph" w:customStyle="1" w:styleId="1">
    <w:name w:val="פיסקת רשימה1"/>
    <w:basedOn w:val="a"/>
    <w:rsid w:val="0071081D"/>
    <w:pPr>
      <w:spacing w:after="200" w:line="276" w:lineRule="auto"/>
      <w:ind w:left="720"/>
      <w:contextualSpacing/>
    </w:pPr>
    <w:rPr>
      <w:rFonts w:ascii="Calibri" w:hAnsi="Calibri" w:cs="Arial"/>
      <w:noProof w:val="0"/>
      <w:sz w:val="22"/>
      <w:szCs w:val="22"/>
    </w:rPr>
  </w:style>
  <w:style w:type="paragraph" w:customStyle="1" w:styleId="P22">
    <w:name w:val="P22"/>
    <w:basedOn w:val="a"/>
    <w:rsid w:val="0071081D"/>
    <w:pPr>
      <w:widowControl w:val="0"/>
      <w:tabs>
        <w:tab w:val="left" w:pos="1474"/>
        <w:tab w:val="left" w:pos="1928"/>
        <w:tab w:val="left" w:pos="2381"/>
        <w:tab w:val="left" w:pos="2835"/>
        <w:tab w:val="right" w:leader="dot" w:pos="6259"/>
      </w:tabs>
      <w:suppressAutoHyphens/>
      <w:autoSpaceDE w:val="0"/>
      <w:autoSpaceDN w:val="0"/>
      <w:spacing w:before="60"/>
      <w:ind w:left="2835" w:right="1021"/>
      <w:jc w:val="both"/>
    </w:pPr>
    <w:rPr>
      <w:rFonts w:cs="Times New Roman"/>
      <w:sz w:val="20"/>
      <w:szCs w:val="26"/>
      <w:lang w:eastAsia="he-IL"/>
    </w:rPr>
  </w:style>
  <w:style w:type="character" w:customStyle="1" w:styleId="default">
    <w:name w:val="default"/>
    <w:rsid w:val="0071081D"/>
    <w:rPr>
      <w:rFonts w:ascii="Times New Roman" w:hAnsi="Times New Roman" w:cs="Times New Roman" w:hint="default"/>
      <w:sz w:val="26"/>
      <w:szCs w:val="26"/>
    </w:rPr>
  </w:style>
  <w:style w:type="character" w:customStyle="1" w:styleId="big-number">
    <w:name w:val="big-number"/>
    <w:rsid w:val="0071081D"/>
    <w:rPr>
      <w:rFonts w:ascii="Times New Roman" w:hAnsi="Times New Roman" w:cs="Times New Roman" w:hint="default"/>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60882772">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1.jpg"/><Relationship Id="rId4" Type="http://schemas.openxmlformats.org/officeDocument/2006/relationships/styles" Target="styles.xml"/><Relationship Id="rId9" Type="http://schemas.openxmlformats.org/officeDocument/2006/relationships/hyperlink" Target="http://www.nevo.co.il/law_html/law01/171_001.htm"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71EE4D1-0AC2-44E7-A666-9A1DA112F2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18</Pages>
  <Words>5868</Words>
  <Characters>29341</Characters>
  <Application>Microsoft Office Word</Application>
  <DocSecurity>0</DocSecurity>
  <Lines>244</Lines>
  <Paragraphs>70</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35139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טטרואשוילי</cp:lastModifiedBy>
  <cp:revision>2</cp:revision>
  <cp:lastPrinted>2023-03-07T08:22:00Z</cp:lastPrinted>
  <dcterms:created xsi:type="dcterms:W3CDTF">2023-04-13T10:09:00Z</dcterms:created>
  <dcterms:modified xsi:type="dcterms:W3CDTF">2023-04-13T10:09:00Z</dcterms:modified>
</cp:coreProperties>
</file>